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00000"/>
        </w:rPr>
        <w:t>Dokumenty SystemService</w:t>
      </w:r>
    </w:p>
    <w:p>
      <w:pPr>
        <w:pStyle w:val="Subtitle"/>
      </w:pPr>
      <w:r>
        <w:t>Wersja v08 • 15 września 2026</w:t>
      </w:r>
    </w:p>
    <w:p>
      <w:r>
        <w:t>Pakiet określa zasady korzystania z platformy SystemService, najmu SystemDrop, przetwarzania danych, prywatności, cookies i bezpieczeństwa. Obejmuje również formularz miejsca instalacji oraz akceptację i potwierdzenia zakupu.</w:t>
      </w:r>
    </w:p>
    <w:p>
      <w:r>
        <w:t>SystemService | KVK 42085208 | VAT NL005484187B64</w:t>
        <w:br/>
        <w:t>Op Het Zant 9, 5768HH Meijel, Nederland</w:t>
        <w:br/>
        <w:t>info@systemservice.nl</w:t>
      </w:r>
    </w:p>
    <w:p>
      <w:pPr>
        <w:pStyle w:val="Heading1"/>
      </w:pPr>
      <w:r>
        <w:rPr>
          <w:color w:val="000000"/>
        </w:rPr>
        <w:t>Zawartość</w:t>
      </w:r>
    </w:p>
    <w:p>
      <w:r>
        <w:t>1 Regulamin platformy</w:t>
      </w:r>
    </w:p>
    <w:p>
      <w:r>
        <w:t>2 Umowa najmu SystemDrop</w:t>
      </w:r>
    </w:p>
    <w:p>
      <w:r>
        <w:t>3 Umowa powierzenia danych</w:t>
      </w:r>
    </w:p>
    <w:p>
      <w:r>
        <w:t>4 Polityka prywatności</w:t>
      </w:r>
    </w:p>
    <w:p>
      <w:r>
        <w:t>5 Polityka cookies</w:t>
      </w:r>
    </w:p>
    <w:p>
      <w:r>
        <w:t>6 Bezpieczeństwo usługi</w:t>
      </w:r>
    </w:p>
    <w:p>
      <w:r>
        <w:t>7 Formularz i potwierdzenia zakupu</w:t>
      </w:r>
    </w:p>
    <w:p>
      <w:pPr>
        <w:pStyle w:val="Heading1"/>
        <w:pageBreakBefore/>
      </w:pPr>
      <w:r>
        <w:rPr>
          <w:color w:val="000000"/>
        </w:rPr>
        <w:t>1 Regulamin platformy</w:t>
      </w:r>
    </w:p>
    <w:p>
      <w:pPr>
        <w:pStyle w:val="Heading2"/>
      </w:pPr>
      <w:r>
        <w:rPr>
          <w:color w:val="000000"/>
        </w:rPr>
        <w:t>Zakres i zawarcie umowy</w:t>
      </w:r>
    </w:p>
    <w:p>
      <w:pPr>
        <w:keepLines/>
        <w:widowControl/>
      </w:pPr>
      <w:r>
        <w:t>SystemService świadczy usługi automatyzacji dla firm prowadzących serwisy. Klient zawiera umowę w ramach działalności gospodarczej, podaje prawidłowe dane firmy i działa przez upoważnioną osobę. SystemService dostarcza platformę, a nie usługę naprawy urządzeń klientów serwisu. Za przyjęcie zlecenia, diagnozę, naprawę i rozliczenie z klientem końcowym odpowiada serwis.</w:t>
      </w:r>
    </w:p>
    <w:p>
      <w:pPr>
        <w:keepLines/>
        <w:widowControl/>
      </w:pPr>
      <w:r>
        <w:t>Przed płatnością klient wybiera usługę i okres rozliczeniowy, podaje dane firmy oraz może sprawdzić i poprawić zamówienie. Otrzymuje podsumowanie i dokumenty do przeczytania i zapisania w wybranym języku: polskim, niderlandzkim lub angielskim. Umowę zawiera przez akceptację warunków i złożenie płatnego zamówienia. SystemService potwierdza zamówienie e-mailem i zachowuje zaakceptowaną wersję dokumentów, dostępną również na prośbę klienta. Potwierdzenie obejmuje dane firmy, plan, okres, cenę i podatek. Dostęp do płatnej platformy rozpoczyna się po potwierdzeniu skutecznej płatności. Najem SystemDrop podlega dodatkowo części 2.</w:t>
      </w:r>
    </w:p>
    <w:p>
      <w:pPr>
        <w:keepLines/>
        <w:widowControl/>
      </w:pPr>
      <w:r>
        <w:t>Konto i uprawnienia są przypisane do firmy. Klient chroni dane logowania, nadaje pracownikom odpowiednie uprawnienia i niezwłocznie zgłasza podejrzenie nieuprawnionego dostępu. Wniosek o zmianę danych rozliczeniowych lub firmy składa do SystemService; zmiana wymaga sprawdzenia. Konto próbne nie uruchamia płatności. Zakup z takiego konta wymaga przyjęcia warunków płatnej usługi; ten pakiet nie zmienia odrębnych zasad kont próbnych.</w:t>
      </w:r>
    </w:p>
    <w:p>
      <w:pPr>
        <w:pStyle w:val="Heading2"/>
      </w:pPr>
      <w:r>
        <w:rPr>
          <w:color w:val="000000"/>
        </w:rPr>
        <w:t>Ceny i rozliczenia</w:t>
      </w:r>
    </w:p>
    <w:p>
      <w:pPr>
        <w:keepLines/>
        <w:widowControl/>
      </w:pPr>
      <w:r>
        <w:t>Wszystkie ceny są podawane w EUR, niezależnie od języka strony. Kwoty ofertowe są brutto. Podsumowanie przed zapłatą wskazuje kwotę końcową, podatek i ewentualne zastosowanie odwrotnego obciążenia zgodnie z danymi transakcji. Dla zawartej umowy obowiązuje utrwalone podsumowanie, nie późniejsza zmiana cennika.</w:t>
      </w:r>
    </w:p>
    <w:p>
      <w:pPr>
        <w:keepLines/>
        <w:widowControl/>
      </w:pPr>
      <w:r>
        <w:t>Cennik bazowy na dzień tej wersji: Core 89 EUR miesięcznie albo 909 EUR rocznie; Pro 149 EUR miesięcznie albo 1519 EUR rocznie; Enterprise 249 EUR miesięcznie albo 2539 EUR rocznie. Roczna cena dotyczy całego roku płatnego z góry. Zakres funkcji wynika z oferty wybranego planu udostępnionej przed zakupem. Promocje, jeśli występują, mają warunki przedstawione przy zamówieniu.</w:t>
      </w:r>
    </w:p>
    <w:p>
      <w:pPr>
        <w:keepLines/>
        <w:widowControl/>
      </w:pPr>
      <w:r>
        <w:t>Stripe obsługuje płatności cykliczne i udostępnia dokumenty rozliczeniowe. Z profilu klient przechodzi do portalu Stripe, gdzie może sprawdzić płatności i pobrać dostępne faktury. Platforma i każda szafa mają osobne cykle rozliczeniowe. Anulowanie odnowienia platformy nie zastępuje wypowiedzenia najmu szafy. Po anulowaniu odnowienia opłacony plan pozostaje dostępny do końca opłaconego okresu, z zastrzeżeniem ograniczeń bezpieczeństwa i obowiązujących przepisów.</w:t>
      </w:r>
    </w:p>
    <w:p>
      <w:pPr>
        <w:keepLines/>
        <w:widowControl/>
      </w:pPr>
      <w:r>
        <w:t>Samo niewykorzystanie opłaconego okresu subskrypcji nie uprawnia do zwrotu opłaty. Zasada braku zwrotów nie ogranicza uprawnień klienta wynikających z bezwzględnie obowiązujących przepisów prawa.</w:t>
      </w:r>
    </w:p>
    <w:p>
      <w:pPr>
        <w:pStyle w:val="Heading2"/>
      </w:pPr>
      <w:r>
        <w:rPr>
          <w:color w:val="000000"/>
        </w:rPr>
        <w:t>Zmiana planu</w:t>
      </w:r>
    </w:p>
    <w:p>
      <w:pPr>
        <w:keepLines/>
        <w:widowControl/>
      </w:pPr>
      <w:r>
        <w:t>Przy rozliczeniu miesięcznym wyższy plan działa od razu po potwierdzeniu zmiany, bez dopłaty za pozostałą część bieżącego miesiąca rozliczeniowego. Wyższa cena jest pobierana od następnego okresu. Klient może następnie obniżyć plan dopiero po skutecznym opłaceniu co najmniej jednego odnowienia według wyższej ceny. Obniżenie wchodzi w życie na koniec już opłaconego okresu.</w:t>
      </w:r>
    </w:p>
    <w:p>
      <w:pPr>
        <w:keepLines/>
        <w:widowControl/>
      </w:pPr>
      <w:r>
        <w:t>Przy rozliczeniu rocznym podwyższenie planu wymaga dopłaty różnicy za pozostałą część opłaconego roku. Wyższy plan uruchamia się po skutecznej dopłacie; data odnowienia nie zmienia się. Kwota dopłaty jest przedstawiana przed akceptacją. Obniżenie planu rocznego następuje dopiero na koniec opłaconego roku. Opłacenie rocznej dopłaty spełnia warunek rozliczenia podwyższenia; nie wymaga kolejnego pełnego roku wyższego planu.</w:t>
      </w:r>
    </w:p>
    <w:p>
      <w:pPr>
        <w:pStyle w:val="Heading2"/>
      </w:pPr>
      <w:r>
        <w:rPr>
          <w:color w:val="000000"/>
        </w:rPr>
        <w:t>Zaległość i zakończenie dostępu</w:t>
      </w:r>
    </w:p>
    <w:p>
      <w:pPr>
        <w:keepLines/>
        <w:widowControl/>
      </w:pPr>
      <w:r>
        <w:t>Po niezapłaconym odnowieniu płatnego konta klient ma 7 dni na uregulowanie zaległości. Termin biegnie od wymagalności najstarszej niezapłaconej opłaty za daną usługę; ponowienie płatności go nie rozpoczyna od nowa. SystemService informuje o zaległości. Po tym terminie brak płatności za platformę ogranicza SystemWeb i SystemApp do podglądu oraz blokuje nowe przyjęcia we wszystkich powiązanych szafach. Brak płatności wyłącznie za jedną szafę ogranicza tę szafę, a nie pozostałe opłacone usługi.</w:t>
      </w:r>
    </w:p>
    <w:p>
      <w:pPr>
        <w:keepLines/>
        <w:widowControl/>
      </w:pPr>
      <w:r>
        <w:t>Pozostaje możliwość uregulowania płatności, kontaktu z obsługą oraz bezpiecznego odzyskania urządzeń znajdujących się w szafach. Po opłaceniu zaległości dostęp jest przywracany w zakresie nadal obowiązujących umów. Sama zaległość ani ograniczenie dostępu nie rozpoczynają rocznego okresu usuwania konta i nie stanowią wypowiedzenia umowy.</w:t>
      </w:r>
      <w:r>
        <w:rPr>
          <w:rStyle w:val="CommentReference"/>
        </w:rPr>
      </w:r>
    </w:p>
    <w:p>
      <w:pPr>
        <w:keepLines/>
        <w:widowControl/>
      </w:pPr>
      <w:r>
        <w:t>Po rzeczywistym zakończeniu płatnej subskrypcji platformy konto firmy przechodzi w tryb podglądu bez tworzenia i edycji danych. Konto i dane operacyjne są przechowywane przez 12 miesięcy kalendarzowych od daty zakończenia subskrypcji, a nie od kliknięcia anulowania odnowienia ani ostatniego logowania. W tym czasie można poprosić o dane i ponownie zakupić subskrypcję. Skuteczny ponowny zakup przed usunięciem zachowuje konto i zatrzymuje odliczanie oraz oczekujące zlecenie usunięcia. Nie powoduje automatycznego odnowienia zakończonego najmu szafy.</w:t>
      </w:r>
      <w:r>
        <w:rPr>
          <w:rStyle w:val="CommentReference"/>
        </w:rPr>
      </w:r>
    </w:p>
    <w:p>
      <w:pPr>
        <w:pStyle w:val="Heading2"/>
      </w:pPr>
      <w:r>
        <w:rPr>
          <w:color w:val="000000"/>
        </w:rPr>
        <w:t>Usunięcie konta firmy</w:t>
      </w:r>
    </w:p>
    <w:p>
      <w:pPr/>
      <w:r>
        <w:t>SystemService wysyła administratorom firmy ostrzeżenia 30 i 7 dni przed automatycznym usunięciem. Opóźnienie lub niepowodzenie wysyłki przesuwa usunięcie tak, aby zachować te terminy. Klient powinien utrzymywać aktualny adres e-mail. Roczny okres nie dotyczy kont próbnych: zachowują one własny termin zakończenia i automatycznego usunięcia, komunikowany dla danego konta.</w:t>
      </w:r>
    </w:p>
    <w:p>
      <w:pPr/>
      <w:r>
        <w:t>Administrator firmy może wcześniej zlecić usunięcie konta przez profil po potwierdzeniu swojej tożsamości. Zlecenie obejmuje całą firmę, jej użytkowników i dane operacyjne. Można je wycofać do chwili wykonania. Po usunięciu ponowny zakup nie przywraca danych. Dokumentację zachowywaną osobno opisano w części 4.</w:t>
      </w:r>
    </w:p>
    <w:p>
      <w:pPr/>
      <w:r>
        <w:t>Usunięcie w systemie jest wstrzymywane, jeśli pozostają aktywne subskrypcje, rozpoczęty zakup wymagający wyjaśnienia, nierozliczona szafa lub jej zwrot, urządzenia w skrytkach albo trwające przygotowanie lub udostępnienie eksportu. Obsługa wyjaśnia przeszkodę przed wykonaniem operacji. Przycisk usunięcia nie anuluje subskrypcji ani najmu i nie umarza należności. Te zabezpieczenia nie ograniczają ustawowych praw do danych; wniosek dotyczący takich praw można skierować na info@systemservice.nl i podlega on osobnej ocenie.</w:t>
      </w:r>
    </w:p>
    <w:p>
      <w:pPr>
        <w:pStyle w:val="Heading2"/>
      </w:pPr>
      <w:r>
        <w:rPr>
          <w:color w:val="000000"/>
        </w:rPr>
        <w:t>Otrzymanie danych serwisu</w:t>
      </w:r>
    </w:p>
    <w:p>
      <w:pPr/>
      <w:r>
        <w:t>Administrator firmy może poprosić o dane w profilu, również w trybie podglądu. Eksport obejmuje dane klientów serwisu, zgłoszenia, urządzenia, powiązaną historię i załączniki należące do tej firmy. Nie obejmuje oprogramowania SystemService, haseł i kluczy dostępu ani danych innych firm. Wyłączenie wewnętrznych informacji SystemService służy ochronie jego tajemnic przedsiębiorstwa i praw własności intelektualnej; nie może ograniczać ustawowego zakresu danych podlegających przeniesieniu. Faktury są dostępne oddzielnie przez portal Stripe.</w:t>
      </w:r>
    </w:p>
    <w:p>
      <w:pPr/>
      <w:r>
        <w:t>SystemService udostępnia eksport w ciągu 7 dni roboczych, rozumianych jako poniedziałek–piątek. Dane są przekazywane w paczce ZIP z plikami CSV lub JSON, opisem zawartości i załącznikami. Jeśli wielkość lub charakter danych wymaga innego bezpiecznego sposobu dostarczenia, uzgadniamy go z klientem; nie pomijamy danych tylko z powodu limitu pojedynczej paczki.</w:t>
      </w:r>
    </w:p>
    <w:p>
      <w:pPr/>
      <w:r>
        <w:t>O gotowości eksportu informujemy e-mailem. Dane są udostępniane uprawnionemu administratorowi firmy po uwierzytelnieniu. Zwykła paczka eksportu jest dostępna przez 14 dni od udostępnienia, po czym jest usuwana. Klient zapisuje otrzymane dane u siebie; w razie problemu może skontaktować się z obsługą. Przygotowanie i dostępność eksportu wstrzymują usunięcie konta, ale nie przywracają funkcji operacyjnych. Wygaśnięcie paczki nie ogranicza praw do danych ani odrębnych zasad zmiany dostawcy opisanych poniżej.</w:t>
      </w:r>
    </w:p>
    <w:p>
      <w:pPr>
        <w:pStyle w:val="Heading2"/>
        <w:widowControl/>
      </w:pPr>
      <w:r>
        <w:t>Zmiana dostawcy i zakończenie przetwarzania</w:t>
      </w:r>
    </w:p>
    <w:p>
      <w:pPr>
        <w:widowControl/>
      </w:pPr>
      <w:r>
        <w:t>Klient może zgłosić na info@systemservice.nl zmianę dostawcy, przeniesienie danych do własnego systemu albo zakończenie usługi połączone z usunięciem danych. Wskazuje wybraną usługę i sposób zakończenia, a przy zmianie dostawcy — dane potrzebne do współpracy z nowym dostawcą. Okres wypowiedzenia poprzedzający przeniesienie nie przekracza dwóch miesięcy.</w:t>
      </w:r>
    </w:p>
    <w:p>
      <w:pPr>
        <w:widowControl/>
      </w:pPr>
      <w:r>
        <w:t>Przeniesienie obejmuje dane klientów serwisu, zgłoszenia, urządzenia, powiązaną historię i załączniki, a także podlegające eksportowi dane wejściowe i wynikowe, metadane oraz aktywa cyfrowe wytworzone przez klienta w usłudze. Wyłączone są oprogramowanie SystemService, dane innych klientów oraz poufne dane wewnętrzne dotyczące bezpieczeństwa lub objęte tajemnicą przedsiębiorstwa SystemService albo osób trzecich. Wyłączenia nie mogą utrudniać ani opóźniać przeniesienia.</w:t>
      </w:r>
    </w:p>
    <w:p>
      <w:pPr>
        <w:widowControl/>
      </w:pPr>
      <w:r>
        <w:t>Przeniesienie następuje bez zbędnej zwłoki, w okresie przejściowym nieprzekraczającym 30 dni kalendarzowych po okresie wypowiedzenia. SystemService udziela uzasadnionej pomocy klientowi i upoważnionym przez niego osobom, wspiera przygotowanie przeniesienia i przekazuje potrzebne informacje, w tym znane ograniczenia i zagrożenia dla ciągłości. W okresie przejściowym kontynuuje świadczenie objętych umową usług z należytą starannością i zachowuje ochronę danych.</w:t>
      </w:r>
    </w:p>
    <w:p>
      <w:pPr>
        <w:widowControl/>
      </w:pPr>
      <w:r>
        <w:t>Jeżeli dotrzymanie tego okresu jest technicznie niewykonalne, SystemService w ciągu 14 dni roboczych od zgłoszenia przedstawia uzasadnienie oraz okres zastępczy, nie dłuższy niż siedem miesięcy. Klient może jednokrotnie przedłużyć okres przejściowy odpowiednio do swoich potrzeb.</w:t>
      </w:r>
    </w:p>
    <w:p>
      <w:pPr>
        <w:widowControl/>
      </w:pPr>
      <w:r>
        <w:t>Umowa dotycząca przenoszonej usługi kończy się po skutecznym zakończeniu przeniesienia. Przy wyborze zakończenia usługi i usunięcia danych bez przeniesienia kończy się z upływem okresu wypowiedzenia. SystemService potwierdza zakończenie umowy. Po okresie przejściowym dane pozostają dostępne do odzyskania przez co najmniej 30 dni kalendarzowych. Po skutecznym przeniesieniu i upływie tego terminu, albo późniejszego terminu uzgodnionego z klientem, dane objęte przeniesieniem są usuwane. Czternastodniowa ważność zwykłej paczki eksportowej nie skraca tego prawa.</w:t>
      </w:r>
    </w:p>
    <w:p>
      <w:pPr>
        <w:widowControl/>
      </w:pPr>
      <w:r>
        <w:t>Nie pobieramy dodatkowej opłaty za przeniesienie danych. Odrębne zasady najmu SystemDrop pozostają bez zmian.</w:t>
      </w:r>
    </w:p>
    <w:p>
      <w:pPr>
        <w:pStyle w:val="Heading2"/>
      </w:pPr>
      <w:r>
        <w:rPr>
          <w:color w:val="000000"/>
        </w:rPr>
        <w:t>Korzystanie i postanowienia wspólne</w:t>
      </w:r>
    </w:p>
    <w:p>
      <w:pPr>
        <w:keepLines/>
        <w:widowControl/>
      </w:pPr>
      <w:r>
        <w:t>Klient zachowuje prawa do swoich danych i odpowiada za legalność ich wprowadzania oraz poleceń przetwarzania. SystemService zachowuje prawa do oprogramowania i udziela dostępu w zakresie wybranego planu. Zabronione jest obchodzenie zabezpieczeń, uzyskiwanie dostępu do danych innych firm i używanie systemu niezgodnie z prawem. Wyniki funkcji AI wymagają sprawdzenia przez człowieka przed wykorzystaniem w diagnozie, wycenie lub kontakcie z klientem; nie zastępują decyzji serwisu.</w:t>
      </w:r>
    </w:p>
    <w:p>
      <w:pPr>
        <w:widowControl/>
      </w:pPr>
      <w:r>
        <w:t>Nie wolno przechowywać ani przesyłać treści niezgodnych z prawem lub naruszających prawa innych osób. Takie treści można zgłosić na info@systemservice.nl, wskazując ich lokalizację, powód zgłoszenia oraz dane do kontaktu. Zgłaszający potwierdza, że według jego najlepszej wiedzy informacje są prawidłowe i kompletne. SystemService potwierdza otrzymanie zgłoszenia i rozpatruje je indywidualnie. Może proporcjonalnie ograniczyć dostęp do treści, usunąć je lub, gdy to konieczne, ograniczyć konto. Informuje zainteresowanego klienta o przyczynie, zakresie i dostępnych sposobach zakwestionowania decyzji, o ile prawo nie zabrania przekazania informacji. Klient może zwrócić się o ponowne sprawdzenie na podany adres e-mail; zachowuje ustawowe środki ochrony.</w:t>
      </w:r>
    </w:p>
    <w:p>
      <w:pPr>
        <w:keepLines/>
        <w:widowControl/>
      </w:pPr>
      <w:r>
        <w:t>Kontakt jest możliwy całodobowo przez e-mail i kanały kontaktowe SystemService. Możliwość zgłoszenia o każdej porze nie jest gwarancją natychmiastowej odpowiedzi ani nieprzerwanej dostępności usługi. SystemService działa z należytą starannością i usuwa usterki możliwie szybko. Zgłoszenia i reklamacje należy kierować na info@systemservice.nl, opisując problem i wskazując konto lub zamówienie.</w:t>
      </w:r>
    </w:p>
    <w:p>
      <w:pPr>
        <w:keepLines/>
        <w:widowControl/>
      </w:pPr>
      <w:r>
        <w:t>Zmiany warunków dotyczące trwającej umowy są przekazywane e-mailem co najmniej 30 dni przed planowanym wejściem w życie, z opisem skutków i dostępnych uprawnień klienta. Samo opublikowanie nowego cennika nie zmienia ustalonej ceny na czas określony. Zmiana nie narusza już nabytych praw. Umowa podlega prawu niderlandzkiemu z zachowaniem bezwzględnie obowiązujących przepisów. Pakiet nie wyłącza odpowiedzialności, której nie można zgodnie z prawem wyłączyć, ani ustawowych środków ochrony klienta.</w:t>
      </w:r>
    </w:p>
    <w:p>
      <w:pPr>
        <w:pStyle w:val="Heading1"/>
        <w:pageBreakBefore/>
      </w:pPr>
      <w:r>
        <w:rPr>
          <w:color w:val="000000"/>
        </w:rPr>
        <w:t>2 Umowa najmu SystemDrop</w:t>
      </w:r>
    </w:p>
    <w:p>
      <w:pPr>
        <w:pStyle w:val="Heading2"/>
      </w:pPr>
      <w:r>
        <w:rPr>
          <w:color w:val="000000"/>
        </w:rPr>
        <w:t>Przedmiot i płatności</w:t>
      </w:r>
    </w:p>
    <w:p>
      <w:pPr>
        <w:keepLines/>
        <w:widowControl/>
        <w:spacing w:after="60"/>
      </w:pPr>
      <w:r>
        <w:t>SystemService jest wynajmującym, a firma wskazana w zamówieniu jest najemcą. Szafa pozostaje własnością SystemService przez cały okres korzystania; opłaty nie stanowią rat zakupu ani nie przenoszą własności. Dane firmy, lokalizacja, wybrany plan i numer zamówienia są utrwalane przed płatnością. Numer DROP identyfikuje fizyczną szafę. Jeśli nie jest jeszcze znany, zostaje podany w potwierdzeniu przypisania przed aktywacją, bez zmiany zaakceptowanej ceny i warunków.</w:t>
      </w:r>
    </w:p>
    <w:p>
      <w:pPr>
        <w:keepLines/>
        <w:widowControl/>
        <w:spacing w:after="60"/>
      </w:pPr>
      <w:r>
        <w:t>SystemDrop Flex kosztuje 219 EUR miesięcznie przez minimum 12 miesięcy, a SystemDrop Standard 179 EUR miesięcznie przez minimum 24 miesiące. Instalacja kosztuje jednorazowo 499 EUR. Są to kwoty brutto; zasady podsumowania podatku określa część 1. Instalacja obejmuje standardowe przygotowanie, transport, montaż, przewody zasilające będące wyposażeniem szafy i uruchomienie. Dodatkowe prace poza zakresem wymagają osobnego uzgodnienia przed ich zleceniem.</w:t>
      </w:r>
    </w:p>
    <w:p>
      <w:pPr>
        <w:keepLines/>
        <w:widowControl/>
        <w:spacing w:after="60"/>
      </w:pPr>
      <w:r>
        <w:t>Przy zamówieniu opłacana jest instalacja oraz platforma, jeżeli klient kupuje ją jednocześnie. Opłaty miesięczne za szafę i minimalny okres najmu zaczynają się dopiero od aktywacji po dostarczeniu i instalacji. Samo zamówienie, przypisanie firmy lub rejestracja szafy nie uruchamia najmu. SystemService przesyła potwierdzenie aktywacji z numerem DROP, datą rozpoczęcia naliczania opłat i końcem minimalnego okresu. Aktywny plan platformy jest wymagany przez cały okres korzystania z SystemDrop; nie wymaga to opłacania zbędnego pełnego roku zamiast dostępnego rozliczenia miesięcznego.</w:t>
      </w:r>
    </w:p>
    <w:p>
      <w:pPr>
        <w:pStyle w:val="Heading2"/>
      </w:pPr>
      <w:r>
        <w:rPr>
          <w:color w:val="000000"/>
        </w:rPr>
        <w:t>Miejsce i termin instalacji</w:t>
      </w:r>
    </w:p>
    <w:p>
      <w:pPr>
        <w:keepLines/>
        <w:widowControl/>
        <w:spacing w:after="60"/>
      </w:pPr>
      <w:r>
        <w:t>Instalacja jest oferowana na terenie Europy w krajach dostępnych w formularzu. Przed płatnością najemca podaje rzeczywisty adres i potwierdza prawo do ustawienia szafy oraz wymaganą pisemną zgodę właściciela lub zarządcy miejsca. Zapewnia stałe zasilanie, dostęp do internetu i pokrywa koszty ich używania. Brak zasilania, internetu lub wymaganej zgody uniemożliwia zakończenie kwalifikacji do zakupu. Najemca wskazuje możliwość mocowania do ściany, podłoża lub obu powierzchni. Bezpieczny sposób montażu ustala SystemService.</w:t>
      </w:r>
    </w:p>
    <w:p>
      <w:pPr>
        <w:keepLines/>
        <w:widowControl/>
        <w:spacing w:after="60"/>
      </w:pPr>
      <w:r>
        <w:t>Szafa ma wymiary 1830 mm wysokości, 400 mm szerokości i 450 mm głębokości. Miejsce musi umożliwiać bezpieczne otwieranie drzwi i obsługę. Można dołączyć zdjęcie lub mapę z zaznaczonym miejscem. SystemService zaleca rozmowę wideo przed przyjazdem. Jeżeli miejsce nie pozwala na bezpieczną instalację, strony szukają odpowiedniego miejsca zastępczego; jeśli go nie uzgodnią, zamówienie szafy jest anulowane i opłata instalacyjna zwracana w całości. Umowa platformy pozostaje odrębna.</w:t>
      </w:r>
    </w:p>
    <w:p>
      <w:pPr>
        <w:keepLines/>
        <w:widowControl/>
        <w:spacing w:after="60"/>
      </w:pPr>
      <w:r>
        <w:t>Termin instalacji wynosi 3 miesiące od skutecznej płatności za instalację. SystemService informuje o postępie realizacji. Wyjątkowe zdarzenie niezależne od SystemService, takie jak katastrofa naturalna, może przedłużyć termin o rzeczywisty czas spowodowanego nim opóźnienia, nie więcej jednak niż o dodatkowe 60 dni. SystemService niezwłocznie wyjaśnia przyczynę, przewidywany termin i podejmuje rozsądne działania ograniczające opóźnienie. Zwykłe trudności organizacyjne nie stanowią automatycznie takiego zdarzenia.</w:t>
      </w:r>
    </w:p>
    <w:p>
      <w:pPr>
        <w:keepLines/>
        <w:widowControl/>
        <w:spacing w:after="60"/>
      </w:pPr>
      <w:r>
        <w:t>Po przekroczeniu właściwego terminu klient może zrezygnować z zamówienia szafy z pełnym zwrotem opłaty instalacyjnej albo zgodzić się na dalsze oczekiwanie. Przed aktywacją nie są pobierane miesięczne opłaty za najem. Pełny zwrot z powodu niedotrzymania terminu przez SystemService nie podlega potrąceniom przewidzianym dla dobrowolnej rezygnacji klienta.</w:t>
      </w:r>
    </w:p>
    <w:p>
      <w:pPr>
        <w:pStyle w:val="Heading2"/>
      </w:pPr>
      <w:r>
        <w:rPr>
          <w:color w:val="000000"/>
        </w:rPr>
        <w:t>Rezygnacja przed instalacją</w:t>
      </w:r>
    </w:p>
    <w:p>
      <w:pPr>
        <w:keepLines/>
        <w:widowControl/>
        <w:spacing w:after="60"/>
      </w:pPr>
      <w:r>
        <w:t>Najemca może dobrowolnie zrezygnować przed instalacją. SystemService zwraca opłatę instalacyjną pomniejszoną wyłącznie o rzeczywiście poniesione, udokumentowane i nieodzyskiwalne koszty bezpośrednio dotyczące tego zamówienia, np. uzasadniony dojazd i wykonane prace przygotowawcze. Rozliczenie jest indywidualne, nie według automatycznej kary. Potrącenie nie może przekroczyć 499 EUR. Nie obejmuje całej wartości szafy możliwej do wykorzystania u innego klienta.</w:t>
      </w:r>
    </w:p>
    <w:p>
      <w:pPr>
        <w:keepLines/>
        <w:widowControl/>
        <w:spacing w:after="60"/>
      </w:pPr>
      <w:r>
        <w:t>SystemService przedstawia zestawienie potrąconych kosztów i zwraca pozostałą kwotę w ciągu 14 dni kalendarzowych od otrzymania rezygnacji. Jeżeli kosztów nie poniesiono, zwrot jest pełny. Termin 14 dni oznacza czas na dokonanie zwrotu, a nie konsumencki okres odstąpienia od zakupu. Opłata za wcześniejsze zakończenie aktywnego najmu opisana poniżej nie dotyczy okresu przed aktywacją.</w:t>
      </w:r>
    </w:p>
    <w:p>
      <w:pPr>
        <w:pStyle w:val="Heading2"/>
      </w:pPr>
      <w:r>
        <w:rPr>
          <w:color w:val="000000"/>
        </w:rPr>
        <w:t>Użytkowanie i odpowiedzialność</w:t>
      </w:r>
    </w:p>
    <w:p>
      <w:pPr>
        <w:keepLines/>
        <w:widowControl/>
        <w:spacing w:after="60"/>
      </w:pPr>
      <w:r>
        <w:t>Najemca nie może samodzielnie przenosić, demontować, modyfikować ani naprawiać szafy lub jej oprogramowania. Nie może podnajmować jej ani przekazywać innemu podmiotowi. Przeniesienia, zmiany i przypisania do innej firmy wykonuje wyłącznie SystemService. Dozwolona jest jedna usuwalna naklejka z kodem QR formularza oraz jedna z logo najemcy, bez zasłaniania czytnika, zamków, wentylacji i oznaczeń oraz bez utrudniania pracy drzwi. Inne oznakowanie wymaga uzgodnienia z SystemService.</w:t>
      </w:r>
    </w:p>
    <w:p>
      <w:pPr>
        <w:keepLines/>
        <w:widowControl/>
        <w:spacing w:after="60"/>
      </w:pPr>
      <w:r>
        <w:t>SystemService zapewnia konserwację oraz usuwanie usterek technicznych elektroniki, drzwi, zamków i oprogramowania wynikających z normalnego użytkowania. Normalne zużycie jest akceptowalne. Najemca dba o czystość i bezpieczne otoczenie, niezwłocznie zgłasza usterki i zapewnia dostęp na uzgodnione prace. Pokrywa uzasadnione koszty usunięcia wandalizmu i uszkodzeń mechanicznych, np. kopania, malowania sprayem, pisania po obudowie lub niewłaściwego użytkowania. Nie przenosi to na niego kosztów wad i zaniedbań SystemService.</w:t>
      </w:r>
    </w:p>
    <w:p>
      <w:pPr>
        <w:keepLines/>
        <w:widowControl/>
        <w:spacing w:after="60"/>
      </w:pPr>
      <w:r>
        <w:t>Usterki są usuwane możliwie szybko, a awarie uniemożliwiające odzyskanie urządzeń mają podwyższony priorytet. Nie jest gwarantowany stały termin naprawy ani całodobowa obecność technika. SystemService nie jest ubezpieczycielem urządzeń pozostawionych przez klientów i nie odpowiada automatycznie za każdą kradzież lub szkodę. Odpowiedzialność za własne niewykonanie lub nienależyte wykonanie obowiązków jest oceniana zgodnie z prawem; nie zostaje całkowicie wyłączona. Najemcy zaleca się odpowiednie ubezpieczenie, w tym sprawdzenie ochrony wynajmowanego sprzętu i powierzonych urządzeń; nie jest to warunek najmu.</w:t>
      </w:r>
    </w:p>
    <w:p>
      <w:pPr>
        <w:keepLines/>
        <w:widowControl/>
        <w:spacing w:after="60"/>
      </w:pPr>
      <w:r>
        <w:t>Urządzenia wkłada się wyłączone, bez wciskania na siłę i tak, aby nie uszkodziły siebie ani skrytki. Nie jest wymagane pakowanie jak przesyłki kurierskiej. Zabronione są substancje niebezpieczne, łatwopalne, wycieki oraz urządzenia z uszkodzoną, przegrzaną lub spuchniętą baterią. Kilka urządzeń może należeć do jednego zgłoszenia, jeśli mieści się bezpiecznie. Sposób i zakres poszczególnych odbiorów ustala serwis z klientem; nie narzuca się wspólnego odbioru wszystkich urządzeń. Ładowanie urządzeń nie jest objęte tą ofertą.</w:t>
      </w:r>
    </w:p>
    <w:p>
      <w:pPr>
        <w:pStyle w:val="Heading2"/>
      </w:pPr>
      <w:r>
        <w:rPr>
          <w:color w:val="000000"/>
        </w:rPr>
        <w:t>Przedłużenie i wypowiedzenie</w:t>
      </w:r>
    </w:p>
    <w:p>
      <w:pPr>
        <w:keepLines/>
        <w:widowControl/>
        <w:spacing w:after="60"/>
      </w:pPr>
      <w:r>
        <w:t>Klient może już w trakcie minimalnego okresu zgłosić, że chce zakończyć najem z jego końcem. Wypowiedzenie przyjęte z odpowiednim wyprzedzeniem nie wymaga czekania do ostatniego miesiąca ani aktywowania kolejnej umowy. SystemService potwierdza konkretną datę zakończenia. Jeżeli najem jest kontynuowany po minimum bez nowej umowy terminowej, przechodzi na czas nieokreślony z miesięcznym okresem wypowiedzenia na koniec miesiąca kalendarzowego. Przykład: wypowiedzenie 2 lutego kończy najem 31 marca.</w:t>
      </w:r>
    </w:p>
    <w:p>
      <w:pPr>
        <w:keepLines/>
        <w:widowControl/>
        <w:spacing w:after="60"/>
      </w:pPr>
      <w:r>
        <w:t>Kontynuacja na czas nieokreślony kosztuje cenę danego wariantu z cennika aktualnego na moment przejścia, powiększoną o 20%. Klient otrzymuje konkretną kwotę e-mailem co najmniej 30 dni przed jej zastosowaniem. Nie oznacza to automatycznej zmiany przy każdej późniejszej edycji cennika. Nowa umowa na 12 lub 24 miesiące wymaga odrębnej akceptacji i obejmuje aktualną cenę oferty bez tej dopłaty. Bez zachowania wymaganego wyprzedzenia nowa cena nie jest stosowana wstecz.</w:t>
      </w:r>
    </w:p>
    <w:p>
      <w:pPr>
        <w:keepLines/>
        <w:widowControl/>
        <w:spacing w:after="60"/>
      </w:pPr>
      <w:r>
        <w:t>Wypowiedzenie dotyczy wskazanej szafy i jest składane przez opcję rezygnacji w jej widoku w profilu albo e-mailem na info@systemservice.nl. SystemService potwierdza przyjęcie i datę końcową; usterka przycisku nie uniemożliwia skutecznego złożenia oświadczenia. Wypowiedzenie można wycofać przed jego wejściem w życie po potwierdzeniu kontynuacji i przedstawionej ceny. Wycofanie nie oznacza automatycznej nowej umowy na czas określony.</w:t>
      </w:r>
    </w:p>
    <w:p>
      <w:pPr>
        <w:pStyle w:val="Heading2"/>
      </w:pPr>
      <w:r>
        <w:rPr>
          <w:color w:val="000000"/>
        </w:rPr>
        <w:t>Wcześniejsze zakończenie aktywnego najmu</w:t>
      </w:r>
    </w:p>
    <w:p>
      <w:pPr>
        <w:keepLines/>
        <w:widowControl/>
        <w:spacing w:after="60"/>
      </w:pPr>
      <w:r>
        <w:t>Jeżeli klient dobrowolnie chce zakończyć aktywny najem przed upływem minimalnych 12 lub 24 miesięcy, może skorzystać z wcześniejszego rozliczenia. Jednorazowa opłata wynosi 50% sumy pozostałych opłat najmu SystemDrop do końca minimalnego okresu. Podstawą są ceny obowiązujące w jego umowie, z uwzględnieniem przyznanych rabatów, a nie nowy cennik ani dopłata 20% za czas nieokreślony. Okresy już opłacone nie są naliczane drugi raz.</w:t>
      </w:r>
    </w:p>
    <w:p>
      <w:pPr>
        <w:keepLines/>
        <w:widowControl/>
        <w:spacing w:after="60"/>
      </w:pPr>
      <w:r>
        <w:t>SystemService przedstawia wyliczenie i proponowaną datę wcześniejszego zakończenia przed zapłatą. Opłata jest płatna jednorazowo przed tą datą. Nie dolicza się drugiej kary za to samo wcześniejsze zakończenie ani pozostałych 50% przyszłego najmu. Zaległości za wcześniejsze okresy pozostają do rozliczenia. Przykład: po jednym opłaconym miesiącu umowy 12-miesięcznej pozostaje 11 miesięcy, więc opłata odpowiada 5,5 miesięcznej opłaty najmu.</w:t>
      </w:r>
    </w:p>
    <w:p>
      <w:pPr>
        <w:keepLines/>
        <w:widowControl/>
        <w:spacing w:after="60"/>
      </w:pPr>
      <w:r>
        <w:t>To rozliczenie dotyczy wyłącznie najmu danej szafy, nie subskrypcji platformy. Nie stosuje się go przed aktywacją ani przy uzasadnionym zakończeniu z powodu niewykonania lub nienależytego wykonania obowiązków przez SystemService, w zakresie wynikającym z prawa. Zapis nie ogranicza innych bezwzględnie obowiązujących uprawnień. Od skutecznej daty zakończenia nie nalicza się kolejnych opłat najmu.</w:t>
      </w:r>
    </w:p>
    <w:p>
      <w:pPr>
        <w:pStyle w:val="Heading2"/>
      </w:pPr>
      <w:r>
        <w:rPr>
          <w:color w:val="000000"/>
        </w:rPr>
        <w:t>Zwrot szafy</w:t>
      </w:r>
    </w:p>
    <w:p>
      <w:pPr>
        <w:keepLines/>
        <w:widowControl/>
        <w:spacing w:after="60"/>
      </w:pPr>
      <w:r>
        <w:t>Z dniem zakończenia najmu blokowane są nowe przyjęcia. Urządzenia już znajdujące się w szafie muszą pozostać możliwe do bezpiecznego odzyskania. Najemca współpracuje przy ich wydaniu, a SystemService sprawdza opróżnienie przed odbiorem szafy. SystemService organizuje i pokrywa demontaż oraz transport w ciągu 14 dni od zakończenia, przy zapewnieniu uzgodnionego dostępu. Oczekiwanie na odbiór nie przedłuża płatnego najmu. Historia poprzedniej firmy nie jest udostępniana kolejnemu najemcy.</w:t>
      </w:r>
      <w:r>
        <w:rPr>
          <w:rStyle w:val="CommentReference"/>
        </w:rPr>
      </w:r>
    </w:p>
    <w:p>
      <w:pPr>
        <w:spacing w:after="60"/>
      </w:pPr>
      <w:r>
        <w:t>Ograniczenia płatnicze określa część 1. Zlecenie usunięcia konta firmy nie zastępuje wypowiedzenia najmu ani zwrotu szafy. Do bezpiecznego wydania urządzeń i zakończenia zwrotu zachowuje się potrzebny dostęp oraz dane. Po zamknięciu tych spraw stosuje się zasady usunięcia z części 1 i zachowania dokumentacji z części 4.</w:t>
      </w:r>
    </w:p>
    <w:p>
      <w:pPr>
        <w:pStyle w:val="Heading1"/>
        <w:pageBreakBefore/>
      </w:pPr>
      <w:r>
        <w:rPr>
          <w:color w:val="000000"/>
        </w:rPr>
        <w:t>3 Umowa powierzenia danych</w:t>
      </w:r>
    </w:p>
    <w:p>
      <w:pPr>
        <w:pStyle w:val="Heading2"/>
      </w:pPr>
      <w:r>
        <w:rPr>
          <w:color w:val="000000"/>
        </w:rPr>
        <w:t>Role i zakres przetwarzania</w:t>
      </w:r>
    </w:p>
    <w:p>
      <w:pPr>
        <w:keepLines/>
        <w:widowControl/>
      </w:pPr>
      <w:r>
        <w:t>W odniesieniu do danych klientów i pracowników serwisu firma wskazana w zamówieniu jest administratorem danych, a SystemService przetwarza je na jej udokumentowane polecenie. Powierzenie obejmuje czas świadczenia usługi oraz uzgodnionego zwrotu lub usunięcia danych. Cel to obsługa kont firmowych, zleceń, komunikacji, przyjęć i wydań, magazynu oraz powiązanych funkcji wybranego planu. Obejmuje przechowywanie, porządkowanie, wyświetlanie, przesyłanie, eksport i usuwanie danych.</w:t>
      </w:r>
    </w:p>
    <w:p>
      <w:pPr>
        <w:keepLines/>
        <w:widowControl/>
      </w:pPr>
      <w:r>
        <w:t>Kategorie danych obejmują identyfikację i kontakt, dane pracowników i uprawnień, opis oraz identyfikatory urządzeń, historię zleceń, komunikację, załączniki i zdarzenia szafy powiązane z osobą. Osoby to klienci serwisu, jego pracownicy, przedstawiciele i inne osoby ujęte zgodnie z prawem w zleceniu. Usługa nie jest przeznaczona do systematycznego przechowywania szczególnych kategorii danych ani pełnej zawartości oddanych urządzeń. Serwis ogranicza wpisy do danych potrzebnych w obsłudze.</w:t>
      </w:r>
    </w:p>
    <w:p>
      <w:pPr>
        <w:pStyle w:val="Heading2"/>
      </w:pPr>
      <w:r>
        <w:rPr>
          <w:color w:val="000000"/>
        </w:rPr>
        <w:t>Obowiązki i dalsze powierzenie</w:t>
      </w:r>
    </w:p>
    <w:p>
      <w:pPr>
        <w:keepLines/>
        <w:widowControl/>
      </w:pPr>
      <w:r>
        <w:t>SystemService przetwarza powierzone dane wyłącznie według udokumentowanych instrukcji, w tym dotyczących transferów zagranicznych, chyba że prawo nakazuje inaczej; wówczas uprzednio informuje administratora, o ile prawo tego nie zabrania. Zapewnia poufność upoważnionych osób i środki odpowiednie do ryzyka. Informuje, jeśli instrukcja narusza przepisy ochrony danych. Nie używa powierzonych danych do własnej reklamy ani trenowania własnych modeli AI.</w:t>
      </w:r>
    </w:p>
    <w:p>
      <w:pPr>
        <w:keepLines/>
        <w:widowControl/>
      </w:pPr>
      <w:r>
        <w:t>Administrator udziela ogólnej pisemnej zgody na dalsze powierzenie podmiotom ujętym w wykazie przekazanym mu przed zawarciem umowy. Wykaz stanowi część umowy i określa tożsamość oraz dane kontaktowe podmiotów, usługi, kategorie danych, kraje przetwarzania i podstawy ewentualnych transferów poza EOG. SystemService aktualizuje wykaz i zawiadamia o dodaniu lub zmianie podwykonawcy z wyprzedzeniem umożliwiającym uzasadniony sprzeciw przed rozpoczęciem przetwarzania przez ten podmiot. Nakłada równoważne obowiązki ochrony danych i odpowiada wobec administratora za ich wykonanie.</w:t>
      </w:r>
    </w:p>
    <w:p>
      <w:pPr>
        <w:keepLines/>
        <w:widowControl/>
      </w:pPr>
      <w:r>
        <w:t>SystemService pomaga administratorowi realizować prawa osób oraz obowiązki dotyczące bezpieczeństwa, naruszeń, oceny skutków i konsultacji z organem, z uwzględnieniem charakteru przetwarzania i dostępnych informacji. Naruszenie danych zgłasza administratorowi bez zbędnej zwłoki po stwierdzeniu, z dostępnymi informacjami o zdarzeniu, skutkach i działaniach; brak pełnych danych nie opóźnia pierwszego zgłoszenia. Kolejne ustalenia przekazuje na bieżąco.</w:t>
      </w:r>
    </w:p>
    <w:p>
      <w:pPr>
        <w:keepLines/>
        <w:widowControl/>
      </w:pPr>
      <w:r>
        <w:t>Środki bezpieczeństwa określa część 6, stanowiąca część tej umowy. SystemService udostępnia administratorowi dodatkowe informacje potrzebne do wykazania zgodności i oceny zabezpieczeń, z zachowaniem poufności. Umożliwia audyty, w tym inspekcje administratora lub upoważnionego audytora, z ochroną danych innych klientów. Po zakończeniu usług przetwarzania, według wyboru administratora, zwraca lub usuwa dane i kopie, chyba że prawo wymaga przechowania. Umowa powierzenia ma pierwszeństwo w sprawach przetwarzania danych.</w:t>
      </w:r>
    </w:p>
    <w:p>
      <w:pPr>
        <w:pStyle w:val="Heading2"/>
        <w:pageBreakBefore w:val="0"/>
      </w:pPr>
      <w:r>
        <w:rPr>
          <w:color w:val="000000"/>
        </w:rPr>
        <w:t>Przechowanie i zwrot powierzonych danych</w:t>
      </w:r>
    </w:p>
    <w:p>
      <w:pPr/>
      <w:r>
        <w:t>Uzgodniona usługa podglądu i otrzymania danych po zakończeniu płatnej subskrypcji trwa przez okres określony w części 1. Przyjmując te warunki, administrator poleca SystemService przechować w tym celu powierzone dane. Może wcześniej polecić ich zwrot lub usunięcie przez profil albo kontakt z SystemService. Dwunastomiesięczny okres jest ustaleniem umownym, nie ustawowym obowiązkiem przechowywania ani zgodą na marketing.</w:t>
      </w:r>
    </w:p>
    <w:p>
      <w:pPr/>
      <w:r>
        <w:t>Tryb eksportu, zakres, termin przygotowania i czas pobrania określa część 1. Prośba o eksport nie zastępuje instrukcji usunięcia. Prawa osób fizycznych i polecenia administratora są rozpatrywane odrębnie; blokada technicznego usunięcia całej firmy nie stanowi automatycznej podstawy do zatrzymania każdego powierzonego rekordu. Niezbędny dalszy zakres i przyczynę przechowania trzeba ustalić indywidualnie.</w:t>
      </w:r>
    </w:p>
    <w:p>
      <w:pPr>
        <w:pStyle w:val="Heading1"/>
        <w:pageBreakBefore w:val="0"/>
      </w:pPr>
      <w:r>
        <w:rPr>
          <w:color w:val="000000"/>
        </w:rPr>
        <w:t>4 Polityka prywatności</w:t>
      </w:r>
    </w:p>
    <w:p>
      <w:pPr>
        <w:pStyle w:val="Heading2"/>
      </w:pPr>
      <w:r>
        <w:rPr>
          <w:color w:val="000000"/>
        </w:rPr>
        <w:t>Kto i w jakim celu wykorzystuje dane</w:t>
      </w:r>
    </w:p>
    <w:p>
      <w:pPr>
        <w:keepLines/>
        <w:widowControl/>
      </w:pPr>
      <w:r>
        <w:t>SystemService, pod adresem i numerami wskazanymi na początku pakietu, jest administratorem danych potrzebnych do prowadzenia własnej działalności: kont, sprzedaży, rozliczeń, kontaktu, bezpieczeństwa i analityki strony. Kontakt w sprawach danych: info@systemservice.nl. W odniesieniu do zleceń i klientów konkretnego serwisu administratorem jest ten serwis; SystemService działa jako jego podmiot przetwarzający według części 3. Ta polityka nie zastępuje informacji, które serwis przekazuje swoim klientom.</w:t>
      </w:r>
    </w:p>
    <w:p>
      <w:pPr>
        <w:keepLines/>
        <w:widowControl/>
      </w:pPr>
      <w:r>
        <w:t>Przetwarzamy dane podane w formularzach i profilu, dane przekazane przez upoważnionego administratora firmy, informacje o płatnościach otrzymane od Stripe oraz zdarzenia techniczne związane z korzystaniem z systemu. Obejmują dane identyfikacyjne, firmowe i kontaktowe, korespondencję, identyfikatory transakcji, adresy IP i informacje niezbędne do ochrony kont. Dane karty używane do płatności obsługuje Stripe; nie należy wpisywać ich do zwykłych wiadomości ani zgłoszeń.</w:t>
      </w:r>
    </w:p>
    <w:p>
      <w:pPr>
        <w:keepLines/>
        <w:widowControl/>
      </w:pPr>
      <w:r>
        <w:t>Podstawą obsługi umowy z osobą prowadzącą działalność jest jej wykonanie lub działania przed zawarciem. Dane przedstawicieli i pracowników obsługujemy na podstawie uzasadnionego interesu w komunikacji i realizacji umowy z firmą. Rozliczenia i wymagane ewidencje opierają się na obowiązku prawnym. Bezpieczeństwo i dochodzenie roszczeń opierają się na uzasadnionym interesie, z uwzględnieniem praw osoby. Działania wymagające zgody, w tym odpowiednie cookies, są odrębne od akceptacji regulaminu.</w:t>
      </w:r>
    </w:p>
    <w:p>
      <w:pPr>
        <w:pStyle w:val="Heading2"/>
      </w:pPr>
      <w:r>
        <w:rPr>
          <w:color w:val="000000"/>
        </w:rPr>
        <w:t>Odbiorcy i przechowywanie</w:t>
      </w:r>
    </w:p>
    <w:p>
      <w:pPr>
        <w:keepLines/>
        <w:widowControl/>
      </w:pPr>
      <w:r>
        <w:t>Korzystamy z Hostinger do hostingu platformy, LH.pl Sp. z o.o. do poczty i przechowywania kopii zapasowych oraz Stripe do płatności i rozliczeń. Infrastruktura platformy znajduje się w Niemczech, usługi LH.pl są realizowane w Polsce, a funkcję AI obsługuje SystemService w Niderlandach. Dostawcy otrzymują wyłącznie dane potrzebne do danej usługi. Dostęp mogą mieć także upoważnione osoby obsługujące SystemService, doradcy oraz organy, gdy jest to potrzebne i zgodne z prawem.</w:t>
      </w:r>
    </w:p>
    <w:p>
      <w:pPr>
        <w:widowControl/>
      </w:pPr>
      <w:r>
        <w:t>Jeśli użytkownik włączy powiadomienia w aplikacji mobilnej, do ich dostarczenia korzystamy z Expo oraz usług powiadomień Apple (iOS) lub Google (Android). Przekazywane są identyfikator odbioru powiadomień na urządzeniu, tytuł, fragment wiadomości i odnośnik do właściwego miejsca w aplikacji. Powiadomienia można wyłączyć w ustawieniach urządzenia.</w:t>
      </w:r>
    </w:p>
    <w:p>
      <w:pPr/>
      <w:r>
        <w:t>Stripe Payments Europe, Limited obsługuje płatności i rozliczenia jako podmiot przetwarzający lub odrębny administrator, zależnie od celu. Dane są przekazywane także poza EOG, w tym do Stripe, LLC w USA. Dodatek Stripe dotyczący transferów przewiduje stosowanie EU–US Data Privacy Framework w jego właściwym zakresie, a w pozostałych przypadkach odpowiednich standardowych klauzul umownych Komisji Europejskiej. Informacje o rolach i kopie zabezpieczeń: https://stripe.com/nl/privacy, https://stripe.com/nl/legal/dpa oraz https://stripe.com/nl/legal/dta. Można również zwrócić się do SystemService o informacje dotyczące właściwego transferu.</w:t>
      </w:r>
    </w:p>
    <w:p>
      <w:pPr>
        <w:widowControl/>
      </w:pPr>
      <w:r>
        <w:t>Za zgodą użytkownika korzystamy z Google Analytics 4 (GA4), dostarczanego przez Google Ireland Limited i uruchamianego przez Google Tag Manager, aby analizować ruch na publicznej stronie i poprawiać jej działanie. Przetwarzane są identyfikatory cookies, informacje o odwiedzanych stronach, interakcjach, źródle wizyty, urządzeniu i przeglądarce oraz przybliżonej lokalizacji. Informacje Google o wykorzystaniu danych: https://policies.google.com/technologies/partner-sites.</w:t>
      </w:r>
    </w:p>
    <w:p>
      <w:pPr>
        <w:widowControl/>
      </w:pPr>
      <w:r>
        <w:t>Dane są przekazywane Google i mogą być przetwarzane poza EOG, w tym przez Google LLC w USA. Google stosuje EU–US Data Privacy Framework w jego właściwym zakresie oraz standardowe klauzule umowne dla pozostałych transferów, gdy są wymagane. Informacje i kopie zabezpieczeń: https://policies.google.com/privacy/frameworks oraz https://business.safety.google/adsprocessorterms/.</w:t>
      </w:r>
    </w:p>
    <w:p>
      <w:pPr>
        <w:widowControl/>
      </w:pPr>
      <w:r>
        <w:t>W GA4 ustawiono przechowywanie danych zdarzeń przez 2 miesiące, a danych użytkownika przez 14 miesięcy. Okres dla danych użytkownika odnawia się przy jego nowej aktywności. Terminy te dotyczą danych objętych ustawieniami retencji GA4 i nie obejmują większości standardowych raportów zbiorczych.</w:t>
      </w:r>
    </w:p>
    <w:p>
      <w:pPr>
        <w:keepLines/>
        <w:widowControl/>
      </w:pPr>
      <w:r>
        <w:t>Dane operacyjne konta i klientów serwisu podlegają okresom i zasadom z części 1 oraz instrukcjom z części 3. Usunięcie konta zamyka dostęp użytkowników i obejmuje dane klientów, zgłoszenia, urządzenia, wiadomości, magazyn, cennik usług oraz powiązaną historię i załączniki. Zachowanie niezbędnej dokumentacji rozliczeniowej i prawnej nie oznacza dalszego działania konta.</w:t>
      </w:r>
    </w:p>
    <w:p>
      <w:pPr/>
      <w:r>
        <w:t>Oddzielnie zachowujemy niezbędne dane firmy, faktury, dokumentację zakupów, umów i upoważnień płatniczych oraz dowody potrzebne do obowiązków prawnych lub uzasadnionych roszczeń. Dla podstawowej dokumentacji księgowej obowiązuje zasadniczo 7 lat, liczonych według właściwych zasad podatkowych, a nie automatycznie od usunięcia konta; szczególne obowiązki mogą wymagać dłuższego okresu. Dane wszystkich zleceń serwisu nie stają się z tego powodu dokumentacją księgową SystemService.</w:t>
      </w:r>
    </w:p>
    <w:p>
      <w:pPr/>
      <w:r>
        <w:t>Dostęp do zachowanej dokumentacji jest ograniczony do uprawnionych osób i celu przechowania. Nie wykorzystujemy jej do marketingu ani przywrócenia usuniętego konta. Kopie zapasowe tworzone w stałym cyklu przechowujemy zasadniczo przez 30 dni. Awaria procesu tworzenia kopii może wydłużyć ten okres; dalsze przechowanie ograniczamy do czasu niezbędnego do zapewnienia możliwości odzyskania danych. Dodatkowe kopie związane z konkretnymi pracami przechowujemy tylko przez czas potrzebny do zakończenia i sprawdzenia tych prac. Dane usunięte z bieżącego systemu znikają z kopii w ramach ich cyklu usuwania. Polecenia administratora i ustawowe prawa osób są rozpatrywane zgodnie z częścią 3. Odrębne logi bezpieczeństwa i pozostała korespondencja podlegają osobnym okresom wynikającym z ich celu i obowiązków prawnych.</w:t>
      </w:r>
    </w:p>
    <w:p>
      <w:pPr/>
      <w:r>
        <w:t>Zapytania przesłane przez formularz strony i związana z nimi korespondencja są usuwane ze skrzynki pocztowej natychmiast po zakończeniu sprawy.</w:t>
      </w:r>
    </w:p>
    <w:p>
      <w:pPr>
        <w:pStyle w:val="Heading2"/>
      </w:pPr>
      <w:r>
        <w:rPr>
          <w:color w:val="000000"/>
        </w:rPr>
        <w:t>Prawa i kontakt</w:t>
      </w:r>
    </w:p>
    <w:p>
      <w:pPr>
        <w:keepLines/>
        <w:widowControl/>
      </w:pPr>
      <w:r>
        <w:t>W granicach przewidzianych prawem można żądać dostępu, sprostowania, usunięcia, ograniczenia przetwarzania i przeniesienia danych oraz wnieść sprzeciw. Zgodę można wycofać bez wpływu na wcześniejsze zgodne z prawem przetwarzanie. Odpowiadamy co do zasady w ciągu miesiąca; prawo przewiduje uzasadnione przedłużenie z informacją dla osoby. Można złożyć skargę do Autoriteit Persoonsgegevens lub właściwego organu ochrony danych. Pytania o dane zlecenia należy najpierw kierować do serwisu będącego administratorem.</w:t>
      </w:r>
    </w:p>
    <w:p>
      <w:pPr>
        <w:keepLines/>
        <w:widowControl/>
      </w:pPr>
      <w:r>
        <w:t>Dane wymagane do zamówienia są potrzebne do zawarcia i wykonania umowy oraz rozliczeń; bez nich zakup może nie być możliwy. Dane opcjonalne są oznaczane oddzielnie. System na podstawie potwierdzonego stanu płatności ogranicza dostęp i oblicza termin usunięcia zgodnie z częścią 1. W razie błędu można zwrócić się do SystemService o sprawdzenie danych i decyzji. Wnioski dotyczące praw do danych nie wymagają zakupu ani podawania danych karty.</w:t>
      </w:r>
      <w:r>
        <w:rPr>
          <w:rStyle w:val="CommentReference"/>
        </w:rPr>
      </w:r>
    </w:p>
    <w:p>
      <w:pPr>
        <w:pStyle w:val="Heading2"/>
      </w:pPr>
      <w:r>
        <w:t>Asystenci AI</w:t>
      </w:r>
    </w:p>
    <w:p>
      <w:pPr/>
      <w:r>
        <w:t>Asystent w panelu korzysta ze sztucznej inteligencji. Historia obejmuje ostatnich 30 wiadomości i jest zapisywana w przeglądarce osobno dla użytkownika na danym urządzeniu, do wybrania „Wyczyść czat” lub usunięcia danych przeglądarki. Nie ma automatycznego terminu usunięcia tej historii.</w:t>
      </w:r>
    </w:p>
    <w:p>
      <w:pPr/>
      <w:r>
        <w:t>SystemService przetwarza pytanie i kontekst potrzebny do przygotowania odpowiedzi AI, w tym informacje wpisane przez użytkownika. Podstawą jest uzasadniony interes zapewnienia pomocy, a w zakresie danych powierzonych — instrukcje administratora zgodnie z częścią 3. Odpowiedź AI może być błędna i wymaga sprawdzenia przed wykorzystaniem.</w:t>
      </w:r>
    </w:p>
    <w:p>
      <w:pPr>
        <w:pStyle w:val="Heading1"/>
      </w:pPr>
      <w:r>
        <w:rPr>
          <w:color w:val="000000"/>
        </w:rPr>
        <w:t>5 Polityka cookies</w:t>
      </w:r>
    </w:p>
    <w:p>
      <w:pPr>
        <w:pStyle w:val="Heading2"/>
      </w:pPr>
      <w:r>
        <w:rPr>
          <w:color w:val="000000"/>
        </w:rPr>
        <w:t>Niezbędne zapisy i wybór użytkownika</w:t>
      </w:r>
    </w:p>
    <w:p>
      <w:pPr>
        <w:keepLines/>
        <w:widowControl/>
      </w:pPr>
      <w:r>
        <w:t>Strona korzysta z cookies i pamięci przeglądarki do logowania, bezpieczeństwa, zamówień i zapamiętywania wybranych ustawień. Zapisy niezbędne do żądanej usługi nie wymagają zgody. Na analitykę lub marketing wymagające zgody użytkownik decyduje się oddzielnie, przed ich uruchomieniem. Odrzucenie opcjonalnych technologii nie odbiera możliwości zakupu ani korzystania z podstawowej usługi.</w:t>
      </w:r>
    </w:p>
    <w:p>
      <w:pPr>
        <w:keepLines/>
        <w:widowControl/>
      </w:pPr>
      <w:r>
        <w:t>Wybór zgód jest zapamiętywany w przeglądarce do zmiany ustawień lub usunięcia zapisu przez użytkownika. Identyfikator próby zakupu, zapobiegający podwójnemu zamówieniu, jest przechowywany przez 30 dni, a podsumowanie wyboru przez 15 minut.</w:t>
      </w:r>
    </w:p>
    <w:p>
      <w:pPr/>
      <w:r>
        <w:t>Identyfikator sesji służący logowaniu ma odnawiany termin do 30 dni. Dane ochrony formularzy i adresu powrotu po logowaniu są przechowywane do końca sesji. Preferencje wyglądu, etykiet i dźwięków pozostają w przeglądarce do ich zmiany lub usunięcia przez użytkownika. Historię AI opisano w części 4. Te zapisy obsługuje SystemService; dane potrzebne do obsługi żądania mogą być przetwarzane przez dostawcę hostingu wskazanego w części 4. Lokalne preferencje i historia pozostają w przeglądarce, z wyjątkiem treści przekazywanej przy korzystaniu z funkcji AI.</w:t>
      </w:r>
    </w:p>
    <w:p>
      <w:pPr>
        <w:widowControl/>
      </w:pPr>
      <w:r>
        <w:t>Po zgodzie na analitykę GA4 używa cookies _ga do rozróżniania użytkowników i _ga_* do przechowywania stanu sesji. Dostęp do tych danych ma Google. Ich ważność wynosi do 2 lat i odnawia się przy kolejnych wizytach. Przeglądarka może skrócić ten okres. Dane przekazywane Google i okresy ich przechowywania w GA4 opisano w części 4.</w:t>
      </w:r>
    </w:p>
    <w:p>
      <w:pPr>
        <w:keepLines/>
        <w:widowControl/>
      </w:pPr>
      <w:r>
        <w:t>Opcjonalne zgody można w każdej chwili zmienić lub wycofać przyciskiem „Ustawienia cookies” na publicznych stronach serwisu. Wycofanie kończy dalsze korzystanie z technologii objętych zgodą i nie wpływa na zgodność wcześniejszego przetwarzania. Dane zapisane w przeglądarce można również usunąć w jej ustawieniach. Przy korzystaniu ze strony płatności Stripe obowiązuje także informacja tego dostawcy: https://stripe.com/cookie-settings.</w:t>
      </w:r>
    </w:p>
    <w:p>
      <w:pPr>
        <w:pStyle w:val="Heading1"/>
      </w:pPr>
      <w:r>
        <w:rPr>
          <w:color w:val="000000"/>
        </w:rPr>
        <w:t>6 Bezpieczeństwo usługi</w:t>
      </w:r>
    </w:p>
    <w:p>
      <w:pPr>
        <w:pStyle w:val="Heading2"/>
      </w:pPr>
      <w:r>
        <w:rPr>
          <w:color w:val="000000"/>
        </w:rPr>
        <w:t>Zasady ochrony</w:t>
      </w:r>
    </w:p>
    <w:p>
      <w:pPr>
        <w:keepLines/>
        <w:widowControl/>
      </w:pPr>
      <w:r>
        <w:t>SystemService ogranicza dostęp do danych i załączników według firmy i uprawnień użytkownika, chroni dane logowania oraz rejestruje istotne operacje. Dostęp do dokumentacji zachowanej po usunięciu konta mają wyłącznie upoważnione osoby. Zasady postępowania z danymi po zakończeniu usługi określają części 1, 3 i 4.</w:t>
      </w:r>
    </w:p>
    <w:p>
      <w:pPr>
        <w:keepLines/>
        <w:widowControl/>
      </w:pPr>
      <w:r>
        <w:t>Stosujemy szyfrowane kopie zapasowe danych i załączników, ograniczamy dostęp do nich i regularnie sprawdzamy możliwość odzyskania danych. Okresy przechowywania kopii określa część 4. Informacje potrzebne administratorowi do oceny zabezpieczeń i audytu udostępniamy zgodnie z częścią 3.</w:t>
      </w:r>
    </w:p>
    <w:p>
      <w:pPr>
        <w:keepLines/>
        <w:widowControl/>
      </w:pPr>
      <w:r>
        <w:t>Podejrzenie ujawnienia danych, błędnych uprawnień lub nieautoryzowanego otwarcia należy niezwłocznie zgłosić na info@systemservice.nl. Nie należy przesyłać haseł ani danych kart. W sytuacji zagrożenia najemca wstrzymuje używanie szafy i zabezpiecza jej otoczenie, bez samodzielnych napraw. Brak łączności nie dowodzi, że szafa jest pusta. Odbiór, ponowne przypisanie i usuwanie historii wymagają kontroli uprawnionych osób; spór o płatność nie uzasadnia zatrzymania urządzeń wewnątrz.</w:t>
      </w:r>
    </w:p>
    <w:p>
      <w:pPr>
        <w:pStyle w:val="Heading1"/>
        <w:pageBreakBefore w:val="0"/>
      </w:pPr>
      <w:r>
        <w:rPr>
          <w:color w:val="000000"/>
        </w:rPr>
        <w:t>7 Formularz i potwierdzenia zakupu</w:t>
      </w:r>
    </w:p>
    <w:p>
      <w:pPr>
        <w:pStyle w:val="Heading2"/>
      </w:pPr>
      <w:r>
        <w:rPr>
          <w:color w:val="000000"/>
        </w:rPr>
        <w:t>Formularz miejsca instalacji</w:t>
      </w:r>
    </w:p>
    <w:p>
      <w:pPr>
        <w:keepLines/>
        <w:widowControl/>
      </w:pPr>
      <w:r>
        <w:t>Firma i numer zamówienia: [dane z zamówienia]. Osoba do kontaktu, telefon i e-mail: [uzupełnij]. Adres instalacji, kod pocztowy, miejscowość i kraj: [uzupełnij]. Język dokumentów: polski / niderlandzki / angielski. Formularz dotyczy tej konkretnej lokalizacji; kolejne szafy mogą mieć osobne miejsca instalacji.</w:t>
      </w:r>
    </w:p>
    <w:p>
      <w:pPr>
        <w:keepLines/>
        <w:widowControl/>
      </w:pPr>
      <w:r>
        <w:t>Czy miejsce ma stały dostęp do zasilania? TAK / NIE. Czy zapewniony jest stały internet? TAK / NIE. Czy masz prawo do ustawienia szafy i wymaganą pisemną zgodę właściciela lub zarządcy? TAK / NIE. Spełnienie tych warunków jest wymagane do zamówienia szafy. Potwierdzam pokrywanie kosztów zasilania i internetu oraz zapoznanie się z wymiarami 1830 × 400 × 450 mm.</w:t>
      </w:r>
    </w:p>
    <w:p>
      <w:pPr>
        <w:keepLines/>
        <w:widowControl/>
      </w:pPr>
      <w:r>
        <w:t>Możliwość mocowania: ściana / podłoże / oba. Dodatkowe informacje o miejscu i dostępie: [uzupełnij]. Zdjęcie lub mapa z zaznaczonym miejscem: [opcjonalny załącznik]. Załączniki nie powinny zawierać zbędnych danych osób. Zalecamy rozmowę wideo przed przyjazdem. Formularz i pisemne potwierdzenia są częścią dokumentacji zamówienia, niezależnie od tego, czy szafa jest zamawiana wraz z platformą, czy później przez profil.</w:t>
      </w:r>
    </w:p>
    <w:p>
      <w:pPr>
        <w:pStyle w:val="Heading2"/>
      </w:pPr>
      <w:r>
        <w:rPr>
          <w:color w:val="000000"/>
        </w:rPr>
        <w:t>Akceptacja przed zapłatą</w:t>
      </w:r>
    </w:p>
    <w:p>
      <w:pPr>
        <w:keepLines/>
        <w:widowControl/>
      </w:pPr>
      <w:r>
        <w:t>„Działam w imieniu wskazanej firmy i mam prawo zawrzeć tę umowę. Akceptuję Regulamin SystemService, Umowę powierzenia danych oraz — jeżeli zamawiam SystemDrop — Umowę najmu SystemDrop. Zapoznałem się z Polityką prywatności”. Dokumenty są udostępniane przed akceptacją w formie możliwej do zapisania. Akceptacja umowy nie jest zgodą na marketing ani ogólną zgodą na przetwarzanie danych.</w:t>
      </w:r>
    </w:p>
    <w:p>
      <w:pPr>
        <w:keepLines/>
        <w:widowControl/>
      </w:pPr>
      <w:r>
        <w:t>Podsumowanie zamówienia określa kwotę płatną teraz, cenę i częstotliwość odnowień platformy, jednorazową instalację oraz miesięczną cenę szafy naliczaną od aktywacji. Upoważnienie do opłat wskazanych w podsumowaniu brzmi: „Upoważniam SystemService do zapisania metody płatności w Stripe i pobierania zaakceptowanych opłat cyklicznych, także bez mojej obecności. Opłaty za SystemDrop rozpoczynają się po dostarczeniu, instalacji i aktywacji”.</w:t>
      </w:r>
    </w:p>
    <w:p>
      <w:pPr>
        <w:pStyle w:val="Heading2"/>
      </w:pPr>
      <w:r>
        <w:rPr>
          <w:color w:val="000000"/>
        </w:rPr>
        <w:t>Potwierdzenia do zachowania</w:t>
      </w:r>
    </w:p>
    <w:p>
      <w:pPr>
        <w:keepLines/>
        <w:widowControl/>
      </w:pPr>
      <w:r>
        <w:t>Klient otrzymuje potwierdzenie zamówienia zawierające dane stron, numer zamówienia, opłacone pozycje, VAT, warianty i okresy oraz zaakceptowane wersje dokumentów w wybranym języku. Potwierdzenie przypisania szafy uzupełnia numer DROP, a potwierdzenie aktywacji wskazuje początek najmu i koniec minimalnego okresu. Potwierdzenie wypowiedzenia lub wcześniejszego rozliczenia określa szafę, datę końcową i należne kwoty. Zaakceptowane warunki pozostają dostępne niezależnie od późniejszych zmian dokumentów.</w:t>
      </w:r>
    </w:p>
    <w:sectPr w:rsidR="00FC693F" w:rsidRPr="0006063C" w:rsidSect="00034616">
      <w:headerReference w:type="default" r:id="rId9"/>
      <w:footerReference w:type="default" r:id="rId10"/>
      <w:headerReference w:type="first" r:id="rId11"/>
      <w:footerReference w:type="first" r:id="rId12"/>
      <w:headerReference w:type="even" r:id="rId13"/>
      <w:footerReference w:type="even" r:id="rId14"/>
      <w:pgSz w:w="12240" w:h="15840"/>
      <w:pgMar w:top="1080" w:right="1152" w:bottom="1080"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8"/>
      </w:rPr>
      <w:t xml:space="preserve">SystemService • v08 • PL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sz w:val="18"/>
      </w:rPr>
      <w:t>SystemService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color w:val="000000"/>
      <w:sz w:val="22"/>
      <w:lang w:val="pl-PL"/>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line="269" w:lineRule="auto"/>
      <w:outlineLvl w:val="0"/>
    </w:pPr>
    <w:rPr>
      <w:rFonts w:asciiTheme="majorHAnsi" w:eastAsiaTheme="majorEastAsia" w:hAnsiTheme="majorHAnsi" w:cstheme="majorBidi" w:ascii="Arial" w:hAnsi="Arial"/>
      <w:b/>
      <w:bCs/>
      <w:color w:val="000000"/>
      <w:sz w:val="34"/>
      <w:szCs w:val="28"/>
      <w:lang w:val="pl-PL"/>
    </w:rPr>
  </w:style>
  <w:style w:type="paragraph" w:styleId="Heading2">
    <w:name w:val="heading 2"/>
    <w:basedOn w:val="Normal"/>
    <w:next w:val="Normal"/>
    <w:link w:val="Heading2Char"/>
    <w:uiPriority w:val="9"/>
    <w:unhideWhenUsed/>
    <w:qFormat/>
    <w:rsid w:val="00FC693F"/>
    <w:pPr>
      <w:keepNext/>
      <w:keepLines/>
      <w:spacing w:before="240" w:after="140" w:line="269" w:lineRule="auto"/>
      <w:outlineLvl w:val="1"/>
    </w:pPr>
    <w:rPr>
      <w:rFonts w:asciiTheme="majorHAnsi" w:eastAsiaTheme="majorEastAsia" w:hAnsiTheme="majorHAnsi" w:cstheme="majorBidi" w:ascii="Arial" w:hAnsi="Arial"/>
      <w:b/>
      <w:bCs/>
      <w:color w:val="000000"/>
      <w:sz w:val="24"/>
      <w:szCs w:val="26"/>
      <w:lang w:val="pl-PL"/>
    </w:rPr>
  </w:style>
  <w:style w:type="paragraph" w:styleId="Heading3">
    <w:name w:val="heading 3"/>
    <w:basedOn w:val="Normal"/>
    <w:next w:val="Normal"/>
    <w:link w:val="Heading3Char"/>
    <w:uiPriority w:val="9"/>
    <w:unhideWhenUsed/>
    <w:qFormat/>
    <w:rsid w:val="00FC693F"/>
    <w:pPr>
      <w:keepNext/>
      <w:keepLines/>
      <w:spacing w:before="200" w:after="140" w:line="269" w:lineRule="auto"/>
      <w:outlineLvl w:val="2"/>
    </w:pPr>
    <w:rPr>
      <w:rFonts w:asciiTheme="majorHAnsi" w:eastAsiaTheme="majorEastAsia" w:hAnsiTheme="majorHAnsi" w:cstheme="majorBidi" w:ascii="Arial" w:hAnsi="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40" w:line="269" w:lineRule="auto"/>
      <w:contextualSpacing/>
    </w:pPr>
    <w:rPr>
      <w:rFonts w:asciiTheme="majorHAnsi" w:eastAsiaTheme="majorEastAsia" w:hAnsiTheme="majorHAnsi" w:cstheme="majorBidi" w:ascii="Arial" w:hAnsi="Arial"/>
      <w:color w:val="000000"/>
      <w:spacing w:val="5"/>
      <w:kern w:val="28"/>
      <w:sz w:val="46"/>
      <w:szCs w:val="52"/>
      <w:lang w:val="pl-PL"/>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40" w:line="269" w:lineRule="auto"/>
    </w:pPr>
    <w:rPr>
      <w:rFonts w:asciiTheme="majorHAnsi" w:eastAsiaTheme="majorEastAsia" w:hAnsiTheme="majorHAnsi" w:cstheme="majorBidi" w:ascii="Arial" w:hAnsi="Arial"/>
      <w:i/>
      <w:iCs/>
      <w:color w:val="000000"/>
      <w:spacing w:val="15"/>
      <w:sz w:val="20"/>
      <w:szCs w:val="24"/>
      <w:lang w:val="pl-PL"/>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Dokumenty SystemService</dc:title>
  <dc:subject>SystemService 2026-09-14</dc:subject>
  <dc:creator>SystemService</dc:creator>
  <cp:keywords/>
  <dc:description/>
  <cp:lastModifiedBy/>
  <cp:revision>1</cp:revision>
  <dcterms:created xsi:type="dcterms:W3CDTF">2013-12-23T23:15:00Z</dcterms:created>
  <dcterms:modified xsi:type="dcterms:W3CDTF">2013-12-23T23:15:00Z</dcterms:modified>
  <cp:category/>
  <cp:version>v05</cp:version>
</cp:coreProperties>
</file>