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rPr>
          <w:color w:val="000000"/>
        </w:rPr>
        <w:t>SystemService documents</w:t>
      </w:r>
    </w:p>
    <w:p>
      <w:pPr>
        <w:pStyle w:val="Subtitle"/>
      </w:pPr>
      <w:r>
        <w:t>Version v08 • 15 September 2026</w:t>
      </w:r>
    </w:p>
    <w:p>
      <w:r>
        <w:t>This package sets out the use of the SystemService platform, SystemDrop rental, data processing, privacy, cookies and security. It also includes the installation location form and order acceptance and confirmations.</w:t>
      </w:r>
    </w:p>
    <w:p>
      <w:r>
        <w:t>SystemService | KVK 42085208 | VAT NL005484187B64</w:t>
        <w:br/>
        <w:t>Op Het Zant 9, 5768HH Meijel, Nederland</w:t>
        <w:br/>
        <w:t>info@systemservice.nl</w:t>
      </w:r>
    </w:p>
    <w:p>
      <w:pPr>
        <w:pStyle w:val="Heading1"/>
      </w:pPr>
      <w:r>
        <w:rPr>
          <w:color w:val="000000"/>
        </w:rPr>
        <w:t>Contents</w:t>
      </w:r>
    </w:p>
    <w:p>
      <w:r>
        <w:t>1 Platform terms</w:t>
      </w:r>
    </w:p>
    <w:p>
      <w:r>
        <w:t>2 SystemDrop rental agreement</w:t>
      </w:r>
    </w:p>
    <w:p>
      <w:r>
        <w:t>3 Data processing agreement</w:t>
      </w:r>
    </w:p>
    <w:p>
      <w:r>
        <w:t>4 Privacy notice</w:t>
      </w:r>
    </w:p>
    <w:p>
      <w:r>
        <w:t>5 Cookie policy</w:t>
      </w:r>
    </w:p>
    <w:p>
      <w:r>
        <w:t>6 Service security</w:t>
      </w:r>
    </w:p>
    <w:p>
      <w:r>
        <w:t>7 Order form and confirmations</w:t>
      </w:r>
    </w:p>
    <w:p>
      <w:pPr>
        <w:pStyle w:val="Heading1"/>
        <w:pageBreakBefore/>
      </w:pPr>
      <w:r>
        <w:rPr>
          <w:color w:val="000000"/>
        </w:rPr>
        <w:t>1 Platform terms</w:t>
      </w:r>
    </w:p>
    <w:p>
      <w:pPr>
        <w:pStyle w:val="Heading2"/>
      </w:pPr>
      <w:r>
        <w:rPr>
          <w:color w:val="000000"/>
        </w:rPr>
        <w:t>Scope and formation</w:t>
      </w:r>
    </w:p>
    <w:p>
      <w:pPr>
        <w:keepLines/>
        <w:widowControl/>
      </w:pPr>
      <w:r>
        <w:t>SystemService provides automation services to repair businesses. The customer contracts in a business capacity, provides accurate company details and acts through an authorised person. SystemService supplies the platform, not repairs to end customers’ devices. The repair business is responsible for accepting jobs, diagnosis, repairs and settlement with its end customers.</w:t>
      </w:r>
    </w:p>
    <w:p>
      <w:pPr>
        <w:keepLines/>
        <w:widowControl/>
      </w:pPr>
      <w:r>
        <w:t>Before payment, the customer selects the service and billing period, provides company details, and can check and correct the order. The customer receives a summary and the documents to read and save in the chosen language: Polish, Dutch or English. The contract is concluded by accepting the terms and placing an order with an obligation to pay. SystemService confirms the order by email and retains the accepted version of the documents, which is also available at the customer’s request. The confirmation includes the company details, plan, period, price and tax. Access to the paid platform begins once successful payment has been confirmed. The rental of SystemDrop is also subject to Part 2.</w:t>
      </w:r>
    </w:p>
    <w:p>
      <w:pPr>
        <w:keepLines/>
        <w:widowControl/>
      </w:pPr>
      <w:r>
        <w:t>The account and permissions belong to the company. The customer protects login details, assigns appropriate staff permissions and promptly reports suspected unauthorised access. Changes to company or billing details are requested from SystemService and checked. A trial account does not start payments. Purchasing from that account requires acceptance of the paid service terms; this package does not change the separate trial rules.</w:t>
      </w:r>
    </w:p>
    <w:p>
      <w:pPr>
        <w:pStyle w:val="Heading2"/>
      </w:pPr>
      <w:r>
        <w:rPr>
          <w:color w:val="000000"/>
        </w:rPr>
        <w:t>Prices and billing</w:t>
      </w:r>
    </w:p>
    <w:p>
      <w:pPr>
        <w:keepLines/>
        <w:widowControl/>
      </w:pPr>
      <w:r>
        <w:t>All prices are in EUR, regardless of website language. Advertised amounts include VAT. Before payment, the summary shows the final amount, tax and any applicable reverse charge based on the transaction details. The recorded order summary governs the contract, not a later change to the price list.</w:t>
      </w:r>
    </w:p>
    <w:p>
      <w:pPr>
        <w:keepLines/>
        <w:widowControl/>
      </w:pPr>
      <w:r>
        <w:t>Base prices at the date of this version: Core EUR 89 monthly or EUR 909 annually; Pro EUR 149 monthly or EUR 1519 annually; Enterprise EUR 249 monthly or EUR 2539 annually. The annual price covers a full year paid in advance. Included features are those of the selected offer made available before purchase. Any promotion has its own conditions shown with the order.</w:t>
      </w:r>
    </w:p>
    <w:p>
      <w:pPr>
        <w:keepLines/>
        <w:widowControl/>
      </w:pPr>
      <w:r>
        <w:t>Stripe processes recurring payments and provides billing documents. From the profile, the customer opens the Stripe portal to review payments and download available invoices. The platform and each cabinet have separate billing cycles. Cancelling platform renewal does not terminate cabinet rental. After cancellation of renewal, the paid plan remains available until the paid period ends, subject to security restrictions and applicable law.</w:t>
      </w:r>
    </w:p>
    <w:p>
      <w:pPr>
        <w:keepLines/>
        <w:widowControl/>
      </w:pPr>
      <w:r>
        <w:t>Not using the paid subscription period does not, by itself, entitle the customer to a refund. The no-refund rule does not limit the customer’s rights under mandatory law.</w:t>
      </w:r>
    </w:p>
    <w:p>
      <w:pPr>
        <w:pStyle w:val="Heading2"/>
      </w:pPr>
      <w:r>
        <w:rPr>
          <w:color w:val="000000"/>
        </w:rPr>
        <w:t>Changing plans</w:t>
      </w:r>
    </w:p>
    <w:p>
      <w:pPr>
        <w:keepLines/>
        <w:widowControl/>
      </w:pPr>
      <w:r>
        <w:t>For monthly billing, an upgrade takes effect immediately after confirmation, with no additional charge for the remainder of the current billing month. The higher price applies from the next period. A subsequent downgrade is permitted only after at least one renewal at the higher price has been successfully paid. A downgrade takes effect at the end of the already paid period.</w:t>
      </w:r>
    </w:p>
    <w:p>
      <w:pPr>
        <w:keepLines/>
        <w:widowControl/>
      </w:pPr>
      <w:r>
        <w:t>For annual billing, an upgrade requires payment of the price difference for the remaining paid year. The higher plan starts after successful payment; the renewal date is unchanged. The additional amount is shown before acceptance. An annual downgrade takes effect only at the end of the paid year. Paying the annual upgrade difference satisfies the upgrade payment condition; another full year on the higher plan is not required.</w:t>
      </w:r>
    </w:p>
    <w:p>
      <w:pPr>
        <w:pStyle w:val="Heading2"/>
      </w:pPr>
      <w:r>
        <w:rPr>
          <w:color w:val="000000"/>
        </w:rPr>
        <w:t>Arrears and end of access</w:t>
      </w:r>
    </w:p>
    <w:p>
      <w:pPr>
        <w:keepLines/>
        <w:widowControl/>
      </w:pPr>
      <w:r>
        <w:t>Following an unpaid renewal of a paid account, the customer has 7 days to settle the arrears. This runs from the due date of the oldest unpaid charge for the relevant service; payment retries do not restart it. SystemService notifies the customer. After that period, platform arrears restrict SystemWeb and SystemApp to viewing and block new deposits in all linked cabinets. Arrears for one cabinet alone restrict that cabinet, not other paid services.</w:t>
      </w:r>
    </w:p>
    <w:p>
      <w:pPr>
        <w:keepLines/>
        <w:widowControl/>
      </w:pPr>
      <w:r>
        <w:t>Payment, support contact and safe recovery of devices already in cabinets remain possible. Once arrears are settled, access is restored under contracts still in force. Arrears or access restrictions alone do not start the annual account deletion period and do not terminate the contract.</w:t>
      </w:r>
      <w:r>
        <w:rPr>
          <w:rStyle w:val="CommentReference"/>
        </w:rPr>
      </w:r>
    </w:p>
    <w:p>
      <w:pPr>
        <w:keepLines/>
        <w:widowControl/>
      </w:pPr>
      <w:r>
        <w:t>When the paid platform subscription actually ends, the company account becomes read-only, without creating or editing data. The account and operational data are retained for 12 calendar months from the subscription end date, not from clicking cancel renewal or the last login. During this period, the customer can request its data and purchase a subscription again. A successful new purchase before deletion preserves the account and stops the countdown and any pending deletion request. It does not automatically renew an ended cabinet rental.</w:t>
      </w:r>
      <w:r>
        <w:rPr>
          <w:rStyle w:val="CommentReference"/>
        </w:rPr>
      </w:r>
    </w:p>
    <w:p>
      <w:pPr>
        <w:pStyle w:val="Heading2"/>
      </w:pPr>
      <w:r>
        <w:rPr>
          <w:color w:val="000000"/>
        </w:rPr>
        <w:t>Company account deletion</w:t>
      </w:r>
    </w:p>
    <w:p>
      <w:pPr/>
      <w:r>
        <w:t>SystemService emails company administrators warnings 30 and 7 days before automatic deletion. Delayed or failed sending postpones deletion to preserve these notice periods. The customer should keep its email address current. The annual period does not apply to trial accounts: they retain their own expiry and automatic deletion dates communicated for that account.</w:t>
      </w:r>
    </w:p>
    <w:p>
      <w:pPr/>
      <w:r>
        <w:t>The company administrator may request earlier account deletion through the profile after confirming their identity. The request covers the entire company, its users and operational data. It may be withdrawn until it is carried out. Once the account has been deleted, a new purchase does not restore the data. Documentation retained separately is described in Part 4.</w:t>
      </w:r>
    </w:p>
    <w:p>
      <w:pPr/>
      <w:r>
        <w:t>Deletion in the system is held while there are active subscriptions, an unresolved purchase attempt, an outstanding cabinet or return, devices inside compartments, or an export being prepared or available. Support resolves the obstacle before execution. The deletion button does not cancel subscriptions or rental and does not waive amounts due. These safeguards do not limit statutory data rights; requests concerning those rights may be sent to info@systemservice.nl and are assessed separately.</w:t>
      </w:r>
    </w:p>
    <w:p>
      <w:pPr>
        <w:pStyle w:val="Heading2"/>
      </w:pPr>
      <w:r>
        <w:rPr>
          <w:color w:val="000000"/>
        </w:rPr>
        <w:t>Obtaining repair business data</w:t>
      </w:r>
    </w:p>
    <w:p>
      <w:pPr/>
      <w:r>
        <w:t>The company administrator may request data through the profile, including in read-only mode. The export includes the repair business’s customer data, tickets, devices, related history and attachments belonging to that company. It does not include SystemService software, passwords, access keys or other companies’ data. Internal SystemService information is excluded to protect its trade secrets and intellectual property rights; this must not limit the statutory scope of data subject to transfer. Invoices are available separately through the Stripe portal.</w:t>
      </w:r>
    </w:p>
    <w:p>
      <w:pPr/>
      <w:r>
        <w:t>SystemService makes the export available within 7 business days, meaning Monday to Friday. The data is supplied as a ZIP package containing CSV or JSON files, a description of the contents and attachments. If the volume or nature of the data requires another secure delivery method, we agree it with the customer; we do not omit data solely because of a limit on a single package.</w:t>
      </w:r>
    </w:p>
    <w:p>
      <w:pPr/>
      <w:r>
        <w:t>We notify the customer by email when the export is ready. The data is made available to the authorised company administrator after authentication. A standard export package is available for 14 days from the date it is made available, after which it is deleted. The customer saves the received data themselves; if there is a problem, they may contact support. Account deletion is suspended while the export is being prepared and remains available, but operational functions are not restored. Expiry of the package does not limit rights to data or the separate rules on switching providers described below.</w:t>
      </w:r>
    </w:p>
    <w:p>
      <w:pPr>
        <w:pStyle w:val="Heading2"/>
        <w:widowControl/>
      </w:pPr>
      <w:r>
        <w:t>Switching providers and ending processing</w:t>
      </w:r>
    </w:p>
    <w:p>
      <w:pPr>
        <w:widowControl/>
      </w:pPr>
      <w:r>
        <w:t>The customer may contact info@systemservice.nl to request a switch to another provider, transfer data to their own system, or end the service and have the data erased. The customer identifies the service and the chosen way of ending it and, when switching providers, provides the details needed to cooperate with the new provider. The notice period before the transfer does not exceed two months.</w:t>
      </w:r>
    </w:p>
    <w:p>
      <w:pPr>
        <w:widowControl/>
      </w:pPr>
      <w:r>
        <w:t>The transfer covers the repair business’s customer data, service requests, devices, related history and attachments, as well as exportable input and output data, metadata and digital assets created by the customer within the service. Exclusions cover SystemService software, other customers’ data and confidential internal security data or data protected as trade secrets of SystemService or third parties. These exclusions must not hinder or delay the transfer.</w:t>
      </w:r>
    </w:p>
    <w:p>
      <w:pPr>
        <w:widowControl/>
      </w:pPr>
      <w:r>
        <w:t>The transfer takes place without undue delay, within a transitional period of no more than 30 calendar days after the notice period. SystemService provides reasonable assistance to the customer and persons authorised by the customer, supports preparation for the transfer and provides the necessary information, including known limitations and risks to continuity. Throughout the transitional period, SystemService continues to provide the contracted services with due care and maintains data protection.</w:t>
      </w:r>
    </w:p>
    <w:p>
      <w:pPr>
        <w:widowControl/>
      </w:pPr>
      <w:r>
        <w:t>If meeting this period is technically unfeasible, SystemService provides a justification and an alternative transitional period of no more than seven months within 14 working days of the request. The customer may extend the transitional period once to suit their needs.</w:t>
      </w:r>
    </w:p>
    <w:p>
      <w:pPr>
        <w:widowControl/>
      </w:pPr>
      <w:r>
        <w:t>The contract for the transferred service ends when the transfer is successfully completed. If the customer chooses to end the service and erase the data without a transfer, the contract ends when the notice period expires. SystemService confirms the termination. After the transitional period, the data remain available for retrieval for at least 30 calendar days. Following a successful transfer and the expiry of this period, or a later period agreed with the customer, the transferred data are erased. The 14-day availability of an ordinary export package does not shorten this right.</w:t>
      </w:r>
    </w:p>
    <w:p>
      <w:pPr>
        <w:widowControl/>
      </w:pPr>
      <w:r>
        <w:t>We do not charge an additional fee for transferring data. The separate SystemDrop rental terms remain unchanged.</w:t>
      </w:r>
    </w:p>
    <w:p>
      <w:pPr>
        <w:pStyle w:val="Heading2"/>
      </w:pPr>
      <w:r>
        <w:rPr>
          <w:color w:val="000000"/>
        </w:rPr>
        <w:t>Use and general provisions</w:t>
      </w:r>
    </w:p>
    <w:p>
      <w:pPr>
        <w:keepLines/>
        <w:widowControl/>
      </w:pPr>
      <w:r>
        <w:t>The customer retains its rights in its data and is responsible for lawful input and processing instructions. SystemService retains rights in its software and grants access within the selected plan. Circumventing security, accessing other companies’ data and unlawful use are prohibited. AI outputs require human checking before use in diagnosis, quotations or customer communications; they do not replace the repair business’s decisions.</w:t>
      </w:r>
    </w:p>
    <w:p>
      <w:pPr>
        <w:widowControl/>
      </w:pPr>
      <w:r>
        <w:t>Storing or sending unlawful content or content infringing others’ rights is prohibited. Such content may be reported to info@systemservice.nl, identifying its location, the reason for the report and contact details. The person reporting confirms that, to the best of their knowledge, the information is accurate and complete. SystemService acknowledges receipt and assesses each report individually. It may proportionately restrict access to the content, remove it or, where necessary, restrict the account. It informs the affected customer of the reason, scope and available ways to challenge the decision, unless disclosure is prohibited by law. The customer may request a review at the same email address and retains statutory remedies.</w:t>
      </w:r>
    </w:p>
    <w:p>
      <w:pPr>
        <w:keepLines/>
        <w:widowControl/>
      </w:pPr>
      <w:r>
        <w:t>Contact is available around the clock by email and through SystemService contact channels. Being able to report at any time is not a guarantee of an immediate response or uninterrupted availability. SystemService acts with due care and resolves faults as quickly as reasonably possible. Reports and complaints should be sent to info@systemservice.nl, identifying the problem and account or order.</w:t>
      </w:r>
    </w:p>
    <w:p>
      <w:pPr>
        <w:keepLines/>
        <w:widowControl/>
      </w:pPr>
      <w:r>
        <w:t>Changes affecting a running contract are emailed at least 30 days before their intended effective date, explaining their consequences and the customer’s rights. Publishing a new price list does not change an agreed fixed-term price. Acquired rights are preserved. Dutch law applies, subject to mandatory law. This package does not exclude liability that cannot lawfully be excluded or the customer’s statutory remedies.</w:t>
      </w:r>
    </w:p>
    <w:p>
      <w:pPr>
        <w:pStyle w:val="Heading1"/>
        <w:pageBreakBefore/>
      </w:pPr>
      <w:r>
        <w:rPr>
          <w:color w:val="000000"/>
        </w:rPr>
        <w:t>2 SystemDrop rental agreement</w:t>
      </w:r>
    </w:p>
    <w:p>
      <w:pPr>
        <w:pStyle w:val="Heading2"/>
      </w:pPr>
      <w:r>
        <w:rPr>
          <w:color w:val="000000"/>
        </w:rPr>
        <w:t>Subject and payments</w:t>
      </w:r>
    </w:p>
    <w:p>
      <w:pPr>
        <w:keepLines/>
        <w:widowControl/>
        <w:spacing w:after="60"/>
      </w:pPr>
      <w:r>
        <w:t>SystemService is the lessor and the company named in the order is the renter. The cabinet remains SystemService property throughout its use. Payments are not purchase instalments and do not transfer ownership. Company details, location, selected plan and order number are recorded before payment. The DROP number identifies the physical cabinet. If not yet known, it is provided in the assignment confirmation before activation, without changing the accepted price or terms.</w:t>
      </w:r>
    </w:p>
    <w:p>
      <w:pPr>
        <w:keepLines/>
        <w:widowControl/>
        <w:spacing w:after="60"/>
      </w:pPr>
      <w:r>
        <w:t>SystemDrop Flex costs EUR 219 per month for a minimum of 12 months; SystemDrop Standard costs EUR 179 per month for a minimum of 24 months. Installation costs EUR 499 once. These amounts include VAT; part 1 governs the tax summary. Installation includes standard preparation, transport, fitting, the cabinet’s power cables and commissioning. Additional work outside this scope requires a separate agreement before it is commissioned.</w:t>
      </w:r>
    </w:p>
    <w:p>
      <w:pPr>
        <w:keepLines/>
        <w:widowControl/>
        <w:spacing w:after="60"/>
      </w:pPr>
      <w:r>
        <w:t>Installation and, if purchased together, the platform are paid for when ordering. Monthly cabinet fees and the minimum rental term start only upon activation after delivery and installation. Ordering, assigning a company or registering the cabinet does not start rental billing. SystemService confirms activation with the DROP number, billing start date and minimum-term end date. An active platform plan is required throughout SystemDrop use; this does not require an unnecessary full year instead of available monthly billing.</w:t>
      </w:r>
    </w:p>
    <w:p>
      <w:pPr>
        <w:pStyle w:val="Heading2"/>
      </w:pPr>
      <w:r>
        <w:rPr>
          <w:color w:val="000000"/>
        </w:rPr>
        <w:t>Installation site and deadline</w:t>
      </w:r>
    </w:p>
    <w:p>
      <w:pPr>
        <w:keepLines/>
        <w:widowControl/>
        <w:spacing w:after="60"/>
      </w:pPr>
      <w:r>
        <w:t>Installation is offered within Europe in countries available in the form. Before payment, the renter supplies the actual address and confirms the right to install the cabinet and the required written permission from the site owner or manager. The renter provides ongoing power and internet and pays their running costs. Missing power, internet or required permission prevents purchase qualification. The renter indicates wall, floor or combined fixing possibilities. SystemService determines the safe installation method.</w:t>
      </w:r>
    </w:p>
    <w:p>
      <w:pPr>
        <w:keepLines/>
        <w:widowControl/>
        <w:spacing w:after="60"/>
      </w:pPr>
      <w:r>
        <w:t>The cabinet is 1830 mm high, 400 mm wide and 450 mm deep. The site must allow safe door opening and operation. A photo or map marking the location may be attached. SystemService recommends a video call before travelling. If safe installation is not possible, the parties seek a suitable alternative site. If none is agreed, the cabinet order is cancelled and the installation fee refunded in full. The platform contract remains separate.</w:t>
      </w:r>
    </w:p>
    <w:p>
      <w:pPr>
        <w:keepLines/>
        <w:widowControl/>
        <w:spacing w:after="60"/>
      </w:pPr>
      <w:r>
        <w:t>The installation deadline is 3 months from successful payment of the installation fee. SystemService provides progress updates. An exceptional event outside SystemService’s control, such as a natural disaster, may extend the deadline by the actual resulting delay, capped at an additional 60 days. SystemService promptly explains the cause and expected date and takes reasonable steps to reduce the delay. Ordinary organisational difficulties are not automatically such an event.</w:t>
      </w:r>
    </w:p>
    <w:p>
      <w:pPr>
        <w:keepLines/>
        <w:widowControl/>
        <w:spacing w:after="60"/>
      </w:pPr>
      <w:r>
        <w:t>If the applicable deadline is missed, the customer may cancel the cabinet order for a full installation-fee refund or agree to wait longer. No monthly rent is charged before activation. A full refund because SystemService missed the deadline is not subject to the deductions applicable to a customer’s voluntary cancellation.</w:t>
      </w:r>
    </w:p>
    <w:p>
      <w:pPr>
        <w:pStyle w:val="Heading2"/>
      </w:pPr>
      <w:r>
        <w:rPr>
          <w:color w:val="000000"/>
        </w:rPr>
        <w:t>Cancellation before installation</w:t>
      </w:r>
    </w:p>
    <w:p>
      <w:pPr>
        <w:keepLines/>
        <w:widowControl/>
        <w:spacing w:after="60"/>
      </w:pPr>
      <w:r>
        <w:t>The renter may voluntarily cancel before installation. SystemService refunds the installation fee less only actual, documented and irrecoverable costs directly attributable to that order, such as justified travel and preparation already carried out. Settlement is individual, not an automatic penalty. Deductions cannot exceed EUR 499 and do not include the full value of a cabinet that can be used for another customer.</w:t>
      </w:r>
    </w:p>
    <w:p>
      <w:pPr>
        <w:keepLines/>
        <w:widowControl/>
        <w:spacing w:after="60"/>
      </w:pPr>
      <w:r>
        <w:t>SystemService provides an itemised deduction statement and refunds the balance within 14 calendar days of receiving cancellation. If no costs were incurred, the refund is full. The 14 days are a refund deadline, not a consumer withdrawal period. The early termination fee for active rental described below does not apply before activation.</w:t>
      </w:r>
    </w:p>
    <w:p>
      <w:pPr>
        <w:pStyle w:val="Heading2"/>
      </w:pPr>
      <w:r>
        <w:rPr>
          <w:color w:val="000000"/>
        </w:rPr>
        <w:t>Use and responsibility</w:t>
      </w:r>
    </w:p>
    <w:p>
      <w:pPr>
        <w:keepLines/>
        <w:widowControl/>
        <w:spacing w:after="60"/>
      </w:pPr>
      <w:r>
        <w:t>The renter may not independently relocate, dismantle, modify or repair the cabinet or its software, sublet it or transfer it to another party. Only SystemService carries out relocation, modification and reassignment to another company. One removable form-QR sticker and one renter-logo sticker are permitted, without covering the reader, locks, ventilation or markings or obstructing doors. Other signage must be agreed with SystemService.</w:t>
      </w:r>
    </w:p>
    <w:p>
      <w:pPr>
        <w:keepLines/>
        <w:widowControl/>
        <w:spacing w:after="60"/>
      </w:pPr>
      <w:r>
        <w:t>SystemService maintains and repairs technical faults in electronics, doors, locks and software arising during normal use. Normal wear is acceptable. The renter keeps the surroundings clean and safe, reports faults promptly and allows access for agreed work. The renter bears reasonable costs of rectifying vandalism and mechanical damage, such as kicking, spray paint, writing on the cabinet or misuse. This does not transfer the cost of SystemService defects or negligence to the renter.</w:t>
      </w:r>
    </w:p>
    <w:p>
      <w:pPr>
        <w:keepLines/>
        <w:widowControl/>
        <w:spacing w:after="60"/>
      </w:pPr>
      <w:r>
        <w:t>Faults are resolved as quickly as reasonably possible, with higher priority for faults preventing device recovery. No fixed repair deadline or round-the-clock technician presence is guaranteed. SystemService is not an insurer of deposited devices and is not automatically liable for every theft or loss. Liability for its own failure to perform is assessed under applicable law and is not wholly excluded. Suitable insurance, including checking cover for rented property and entrusted devices, is recommended but is not a rental condition.</w:t>
      </w:r>
    </w:p>
    <w:p>
      <w:pPr>
        <w:keepLines/>
        <w:widowControl/>
        <w:spacing w:after="60"/>
      </w:pPr>
      <w:r>
        <w:t>Devices must be switched off, placed without force and positioned to avoid damage to each other or the compartment. Courier-parcel packaging is not required. Hazardous or flammable substances, leaks and devices with damaged, overheated or swollen batteries are prohibited. Multiple devices may belong to one job if they fit safely. The repair business agrees individual collection arrangements with its customer; collecting everything together is not mandatory. Device charging is not included in this offer.</w:t>
      </w:r>
    </w:p>
    <w:p>
      <w:pPr>
        <w:pStyle w:val="Heading2"/>
      </w:pPr>
      <w:r>
        <w:rPr>
          <w:color w:val="000000"/>
        </w:rPr>
        <w:t>Renewal and notice</w:t>
      </w:r>
    </w:p>
    <w:p>
      <w:pPr>
        <w:keepLines/>
        <w:widowControl/>
        <w:spacing w:after="60"/>
      </w:pPr>
      <w:r>
        <w:t>During the minimum term, the customer may already give notice to end rental when that term expires. Timely notice does not require waiting until the last month or starting another contract. SystemService confirms the exact end date. Continued rental after the minimum term, without a new fixed-term agreement, becomes indefinite with one full calendar month’s notice ending on the last day of a calendar month. For example, notice on 2 February ends rental on 31 March.</w:t>
      </w:r>
    </w:p>
    <w:p>
      <w:pPr>
        <w:keepLines/>
        <w:widowControl/>
        <w:spacing w:after="60"/>
      </w:pPr>
      <w:r>
        <w:t>Indefinite continuation costs the price of the relevant option at conversion plus 20%. The exact amount is emailed at least 30 days before it applies. This does not mean an automatic change whenever the website price later changes. A new 12- or 24-month agreement requires separate acceptance and uses the current offer price without that surcharge. A new price is not applied retrospectively without the required advance notice.</w:t>
      </w:r>
    </w:p>
    <w:p>
      <w:pPr>
        <w:keepLines/>
        <w:widowControl/>
        <w:spacing w:after="60"/>
      </w:pPr>
      <w:r>
        <w:t>Notice concerns the identified cabinet and is submitted through its cancellation option in the profile or by email to info@systemservice.nl. SystemService confirms receipt and the end date; a faulty button does not prevent valid notice. Notice may be withdrawn before taking effect after confirming continuation and the stated price. Withdrawal does not automatically create a new fixed term.</w:t>
      </w:r>
    </w:p>
    <w:p>
      <w:pPr>
        <w:pStyle w:val="Heading2"/>
      </w:pPr>
      <w:r>
        <w:rPr>
          <w:color w:val="000000"/>
        </w:rPr>
        <w:t>Early termination of active rental</w:t>
      </w:r>
    </w:p>
    <w:p>
      <w:pPr>
        <w:keepLines/>
        <w:widowControl/>
        <w:spacing w:after="60"/>
      </w:pPr>
      <w:r>
        <w:t>If the customer voluntarily wishes to end active rental before the minimum 12 or 24 months expire, early settlement is available. The one-off fee is 50% of the remaining SystemDrop rental fees up to the minimum-term end. It uses the customer’s contract prices, including granted discounts, not a new price list or the 20% indefinite-term surcharge. Periods already paid are not charged twice.</w:t>
      </w:r>
    </w:p>
    <w:p>
      <w:pPr>
        <w:keepLines/>
        <w:widowControl/>
        <w:spacing w:after="60"/>
      </w:pPr>
      <w:r>
        <w:t>SystemService presents the calculation and proposed early end date before payment. The fee is paid once before that date. No second penalty for the same early termination or the other 50% of future rent is added. Arrears for earlier periods remain due. For example, after one paid month of a 12-month agreement, 11 months remain, so the fee equals 5.5 monthly rental payments.</w:t>
      </w:r>
    </w:p>
    <w:p>
      <w:pPr>
        <w:keepLines/>
        <w:widowControl/>
        <w:spacing w:after="60"/>
      </w:pPr>
      <w:r>
        <w:t>This settlement applies only to the rental of the relevant cabinet, not the platform subscription. It does not apply before activation or to a legally justified termination for SystemService’s failure to perform. Other mandatory rights are preserved. No further rental fees accrue from the effective termination date.</w:t>
      </w:r>
    </w:p>
    <w:p>
      <w:pPr>
        <w:pStyle w:val="Heading2"/>
      </w:pPr>
      <w:r>
        <w:rPr>
          <w:color w:val="000000"/>
        </w:rPr>
        <w:t>Returning the cabinet</w:t>
      </w:r>
    </w:p>
    <w:p>
      <w:pPr>
        <w:keepLines/>
        <w:widowControl/>
        <w:spacing w:after="60"/>
      </w:pPr>
      <w:r>
        <w:t>New deposits are blocked from the rental end date. Devices already inside must remain safely recoverable. The renter assists with their release, and SystemService checks that the cabinet is empty before collection. SystemService arranges and pays for dismantling and transport within 14 days of termination, with agreed access provided. Waiting for collection does not extend paid rental. The previous company’s history is not disclosed to the next renter.</w:t>
      </w:r>
      <w:r>
        <w:rPr>
          <w:rStyle w:val="CommentReference"/>
        </w:rPr>
      </w:r>
    </w:p>
    <w:p>
      <w:pPr>
        <w:spacing w:after="60"/>
      </w:pPr>
      <w:r>
        <w:t>Part 1 governs payment restrictions. Requesting company account deletion does not replace rental termination or cabinet return. Necessary access and data are retained for safe device recovery and completion of the return. Once those matters are closed, the deletion rules in Part 1 and documentation retention rules in Part 4 apply.</w:t>
      </w:r>
    </w:p>
    <w:p>
      <w:pPr>
        <w:pStyle w:val="Heading1"/>
        <w:pageBreakBefore/>
      </w:pPr>
      <w:r>
        <w:rPr>
          <w:color w:val="000000"/>
        </w:rPr>
        <w:t>3 Data processing agreement</w:t>
      </w:r>
    </w:p>
    <w:p>
      <w:pPr>
        <w:pStyle w:val="Heading2"/>
      </w:pPr>
      <w:r>
        <w:rPr>
          <w:color w:val="000000"/>
        </w:rPr>
        <w:t>Roles and processing scope</w:t>
      </w:r>
    </w:p>
    <w:p>
      <w:pPr>
        <w:keepLines/>
        <w:widowControl/>
      </w:pPr>
      <w:r>
        <w:t>For repair customers’ and staff data, the ordering company is the controller and SystemService processes on its documented instructions. Processing lasts for the service and agreed data return or deletion period. Its purpose is managing company accounts, jobs, communications, deposits and collections, inventory and related plan features. Operations include storage, organisation, display, transmission, export and deletion.</w:t>
      </w:r>
    </w:p>
    <w:p>
      <w:pPr>
        <w:keepLines/>
        <w:widowControl/>
      </w:pPr>
      <w:r>
        <w:t>Data categories include identity and contact details, staff and permission data, device descriptions and identifiers, job history, communications, attachments and cabinet events linked to individuals. Data subjects are repair customers, staff, representatives and others lawfully included in jobs. The service is not intended for systematic storage of special-category data or the entire contents of deposited devices. The repair business limits input to information needed for its work.</w:t>
      </w:r>
    </w:p>
    <w:p>
      <w:pPr>
        <w:pStyle w:val="Heading2"/>
      </w:pPr>
      <w:r>
        <w:rPr>
          <w:color w:val="000000"/>
        </w:rPr>
        <w:t>Duties and subprocessors</w:t>
      </w:r>
    </w:p>
    <w:p>
      <w:pPr>
        <w:keepLines/>
        <w:widowControl/>
      </w:pPr>
      <w:r>
        <w:t>SystemService processes entrusted data only on documented instructions, including international transfers, unless legally required otherwise; it then informs the controller beforehand unless prohibited by law. Authorised persons are bound by confidentiality and appropriate risk-based measures are applied. SystemService flags instructions that infringe data protection law. Entrusted data is not used for its own advertising or training its own AI models.</w:t>
      </w:r>
    </w:p>
    <w:p>
      <w:pPr>
        <w:keepLines/>
        <w:widowControl/>
      </w:pPr>
      <w:r>
        <w:t>The controller grants general written authorisation to engage the subprocessors included in the list provided to the controller before the contract is concluded. The list forms part of the contract and specifies the parties’ identities and contact details, services, categories of data, countries of processing and grounds for any transfers outside the EEA. SystemService keeps the list up to date and gives advance notice of the addition or replacement of a subprocessor, allowing sufficient time for a reasoned objection before that party begins processing. SystemService imposes equivalent data protection obligations and remains liable to the controller for their performance.</w:t>
      </w:r>
    </w:p>
    <w:p>
      <w:pPr>
        <w:keepLines/>
        <w:widowControl/>
      </w:pPr>
      <w:r>
        <w:t>SystemService assists with data subject rights and duties concerning security, breaches, impact assessments and supervisory consultation, considering the processing and available information. It notifies the controller of a personal data breach without undue delay after becoming aware, providing available details of the event, effects and measures. Incomplete information does not delay the initial notification; further findings follow as available.</w:t>
      </w:r>
    </w:p>
    <w:p>
      <w:pPr>
        <w:keepLines/>
        <w:widowControl/>
      </w:pPr>
      <w:r>
        <w:t>The security measures are set out in Part 6, which forms part of this agreement. SystemService provides the controller with additional information needed to demonstrate compliance and assess the safeguards, subject to confidentiality. SystemService enables audits, including inspections by the controller or an authorised auditor, while protecting other customers’ data. After the processing services end, the data and copies are returned or deleted, at the controller’s choice, unless retention is required by law. The Data Processing Agreement takes precedence in matters concerning the processing of personal data.</w:t>
      </w:r>
    </w:p>
    <w:p>
      <w:pPr>
        <w:pStyle w:val="Heading2"/>
        <w:pageBreakBefore w:val="0"/>
      </w:pPr>
      <w:r>
        <w:rPr>
          <w:color w:val="000000"/>
        </w:rPr>
        <w:t>Retention and return of entrusted data</w:t>
      </w:r>
    </w:p>
    <w:p>
      <w:pPr/>
      <w:r>
        <w:t>The agreed read-only and data retrieval service after the paid subscription ends continues for the period in Part 1. By accepting these terms, the controller instructs SystemService to retain entrusted data for that purpose. It may instruct earlier return or deletion through the profile or by contacting SystemService. The twelve-month period is a contractual arrangement, not a statutory retention obligation or marketing consent.</w:t>
      </w:r>
    </w:p>
    <w:p>
      <w:pPr/>
      <w:r>
        <w:t>Part 1 sets out the export method, scope, preparation time and download period. An export request does not replace a deletion instruction. Individual data rights and controller instructions are assessed separately; a technical hold on whole-company deletion is not automatically a basis to retain every entrusted record. Any necessary further scope and reason for retention must be assessed individually.</w:t>
      </w:r>
    </w:p>
    <w:p>
      <w:pPr>
        <w:pStyle w:val="Heading1"/>
        <w:pageBreakBefore w:val="0"/>
      </w:pPr>
      <w:r>
        <w:rPr>
          <w:color w:val="000000"/>
        </w:rPr>
        <w:t>4 Privacy notice</w:t>
      </w:r>
    </w:p>
    <w:p>
      <w:pPr>
        <w:pStyle w:val="Heading2"/>
      </w:pPr>
      <w:r>
        <w:rPr>
          <w:color w:val="000000"/>
        </w:rPr>
        <w:t>Who uses data and why</w:t>
      </w:r>
    </w:p>
    <w:p>
      <w:pPr>
        <w:keepLines/>
        <w:widowControl/>
      </w:pPr>
      <w:r>
        <w:t>SystemService, identified by the address and registration details at the start of this package, is the controller for its own operations: accounts, sales, billing, contact, security and website analytics. Privacy contact: info@systemservice.nl. For a repair business’s jobs and customers, that business is the controller and SystemService acts as processor under part 3. This notice does not replace the repair business’s information to its customers.</w:t>
      </w:r>
    </w:p>
    <w:p>
      <w:pPr>
        <w:keepLines/>
        <w:widowControl/>
      </w:pPr>
      <w:r>
        <w:t>We process form and profile data, information supplied by an authorised company administrator, payment information from Stripe and technical usage events. This includes identity, company and contact details, correspondence, transaction identifiers, IP addresses and information needed to protect accounts. Stripe handles payment card data. Do not include card details in ordinary messages or support requests.</w:t>
      </w:r>
    </w:p>
    <w:p>
      <w:pPr>
        <w:keepLines/>
        <w:widowControl/>
      </w:pPr>
      <w:r>
        <w:t>Performance of a contract or pre-contractual steps is the basis for contracting with an individual business owner. Representatives’ and employees’ details are used under our legitimate interest in communication and performing the company contract. Billing and mandatory records rely on legal obligations. Security and legal claims rely on legitimate interests, balanced against individual rights. Activities requiring consent, including applicable cookies, are separate from accepting the terms.</w:t>
      </w:r>
    </w:p>
    <w:p>
      <w:pPr>
        <w:pStyle w:val="Heading2"/>
      </w:pPr>
      <w:r>
        <w:rPr>
          <w:color w:val="000000"/>
        </w:rPr>
        <w:t>Recipients and retention</w:t>
      </w:r>
    </w:p>
    <w:p>
      <w:pPr>
        <w:keepLines/>
        <w:widowControl/>
      </w:pPr>
      <w:r>
        <w:t>We use Hostinger to host the platform, LH.pl Sp. z o.o. for email and backup storage, and Stripe for payments and billing. The platform’s infrastructure is in Germany, LH.pl services are provided in Poland, and the AI feature is operated by SystemService in the Netherlands. Providers receive only the data needed for the relevant service. Authorised persons supporting SystemService, advisers and authorities may also have access where this is necessary and lawful.</w:t>
      </w:r>
    </w:p>
    <w:p>
      <w:pPr>
        <w:widowControl/>
      </w:pPr>
      <w:r>
        <w:t>If a user enables notifications in the mobile app, we use Expo and the notification services of Apple (iOS) or Google (Android) to deliver them. The device notification identifier, title, part of the message and a link to the relevant place in the app are transmitted for this purpose. Notifications can be disabled in the device settings.</w:t>
      </w:r>
    </w:p>
    <w:p>
      <w:pPr/>
      <w:r>
        <w:t>Stripe Payments Europe, Limited handles payments and billing as a processor or independent controller, depending on the purpose. Data are also transferred outside the EEA, including to Stripe, LLC in the USA. Stripe’s transfer addendum provides for the EU–US Data Privacy Framework where applicable and otherwise the appropriate European Commission standard contractual clauses. Information on roles and copies of safeguards: https://stripe.com/nl/privacy, https://stripe.com/nl/legal/dpa and https://stripe.com/nl/legal/dta. You may also ask SystemService for information about the relevant transfer.</w:t>
      </w:r>
    </w:p>
    <w:p>
      <w:pPr>
        <w:widowControl/>
      </w:pPr>
      <w:r>
        <w:t>With the user’s consent, we use Google Analytics 4 (GA4), provided by Google Ireland Limited and activated through Google Tag Manager, to analyse traffic on the public website and improve its operation. Data processed includes cookie identifiers, information about visited pages, interactions, the source of the visit, the device and browser, and approximate location. Google’s information on its use of data: https://policies.google.com/technologies/partner-sites.</w:t>
      </w:r>
    </w:p>
    <w:p>
      <w:pPr>
        <w:widowControl/>
      </w:pPr>
      <w:r>
        <w:t>Data is sent to Google and may be processed outside the EEA, including by Google LLC in the United States. Google uses the EU–US Data Privacy Framework within its applicable scope and standard contractual clauses for other transfers where required. Information and copies of safeguards: https://policies.google.com/privacy/frameworks and https://business.safety.google/adsprocessorterms/.</w:t>
      </w:r>
    </w:p>
    <w:p>
      <w:pPr>
        <w:widowControl/>
      </w:pPr>
      <w:r>
        <w:t>GA4 is configured to retain event data for 2 months and user data for 14 months. The user-data retention period restarts when the user is active again. These periods apply to data covered by GA4 retention settings and do not apply to most standard aggregated reports.</w:t>
      </w:r>
    </w:p>
    <w:p>
      <w:pPr>
        <w:keepLines/>
        <w:widowControl/>
      </w:pPr>
      <w:r>
        <w:t>The account’s operational data and the repair business’s customer data are subject to the periods and rules in Part 1 and the instructions in Part 3. Account deletion closes user access and covers customer data, tickets, devices, messages, inventory, the service price list, and related history and attachments. Retention of necessary billing and legal documentation does not mean that the account remains active.</w:t>
      </w:r>
    </w:p>
    <w:p>
      <w:pPr/>
      <w:r>
        <w:t>We separately retain necessary company details, invoices, purchase and contract records, payment authorisations and evidence required for legal obligations or legitimate claims. Basic accounting records generally have a 7-year retention period calculated under the applicable tax rules, not automatically from account deletion; specific obligations may require longer. This does not turn all repair job data into SystemService’s accounting records.</w:t>
      </w:r>
    </w:p>
    <w:p>
      <w:pPr/>
      <w:r>
        <w:t>Access to retained documentation is limited to authorised persons and the purpose of retention. We do not use it for marketing or to restore a deleted account. Backups created on a regular cycle are generally retained for 30 days. A failure of the backup process may extend this period; further retention is limited to the time necessary to maintain the ability to recover data. Additional backups associated with specific work are retained only for the time needed to complete and check that work. Data deleted from the live system is removed from backups as part of their deletion cycle. The controller’s instructions and individuals’ statutory rights are addressed in accordance with Part 3. Separate security logs and other correspondence have their own retention periods based on their purpose and legal obligations.</w:t>
      </w:r>
    </w:p>
    <w:p>
      <w:pPr/>
      <w:r>
        <w:t>Enquiries submitted through the website contact form and related correspondence are deleted from the mailbox immediately after the matter is closed.</w:t>
      </w:r>
    </w:p>
    <w:p>
      <w:pPr>
        <w:pStyle w:val="Heading2"/>
      </w:pPr>
      <w:r>
        <w:rPr>
          <w:color w:val="000000"/>
        </w:rPr>
        <w:t>Rights and contact</w:t>
      </w:r>
    </w:p>
    <w:p>
      <w:pPr>
        <w:keepLines/>
        <w:widowControl/>
      </w:pPr>
      <w:r>
        <w:t>Within legal limits, you may request access, correction, deletion, restriction and portability and object to processing. Consent may be withdrawn without affecting prior lawful processing. We generally respond within one month; any lawful extension is explained. You may complain to the Autoriteit Persoonsgegevens or another competent data protection authority. Questions about job data should first be directed to the repair business acting as controller.</w:t>
      </w:r>
    </w:p>
    <w:p>
      <w:pPr>
        <w:keepLines/>
        <w:widowControl/>
      </w:pPr>
      <w:r>
        <w:t>Required order details are necessary for contracting and billing; purchase may not be possible without them. Optional information is marked separately. The system uses confirmed payment status to restrict access and calculate deletion dates under Part 1. If there is an error, SystemService can be asked to review the data and decision. Exercising data rights does not require a purchase or card details.</w:t>
      </w:r>
      <w:r>
        <w:rPr>
          <w:rStyle w:val="CommentReference"/>
        </w:rPr>
      </w:r>
    </w:p>
    <w:p>
      <w:pPr>
        <w:pStyle w:val="Heading2"/>
      </w:pPr>
      <w:r>
        <w:t>AI assistants</w:t>
      </w:r>
    </w:p>
    <w:p>
      <w:pPr/>
      <w:r>
        <w:t>The assistant in the dashboard uses artificial intelligence. The history contains the last 30 messages and is stored in the browser separately for each user on that device, until the user selects “Clear chat” or deletes the browser data. There is no automatic deletion period for this history.</w:t>
      </w:r>
    </w:p>
    <w:p>
      <w:pPr/>
      <w:r>
        <w:t>SystemService processes the question and the context needed to prepare the AI response, including information entered by the user. The legal basis is the legitimate interest in providing assistance and, for data entrusted for processing, the controller’s instructions in accordance with Part 3. An AI response may be incorrect and must be checked before use.</w:t>
      </w:r>
    </w:p>
    <w:p>
      <w:pPr>
        <w:pStyle w:val="Heading1"/>
      </w:pPr>
      <w:r>
        <w:rPr>
          <w:color w:val="000000"/>
        </w:rPr>
        <w:t>5 Cookie policy</w:t>
      </w:r>
    </w:p>
    <w:p>
      <w:pPr>
        <w:pStyle w:val="Heading2"/>
      </w:pPr>
      <w:r>
        <w:rPr>
          <w:color w:val="000000"/>
        </w:rPr>
        <w:t>Necessary storage and your choice</w:t>
      </w:r>
    </w:p>
    <w:p>
      <w:pPr>
        <w:keepLines/>
        <w:widowControl/>
      </w:pPr>
      <w:r>
        <w:t>The website uses cookies and browser storage for login, security, orders and remembering selected settings. Storage necessary for the requested service does not require consent. The user makes a separate choice about analytics or marketing that requires consent before these are activated. Rejecting optional technologies does not prevent purchases or use of the core service.</w:t>
      </w:r>
    </w:p>
    <w:p>
      <w:pPr>
        <w:keepLines/>
        <w:widowControl/>
      </w:pPr>
      <w:r>
        <w:t>Consent choices are stored in the browser until the user changes the settings or deletes the stored choice. The purchase-attempt identifier, which prevents duplicate orders, is retained for 30 days, and the selection summary for 15 minutes.</w:t>
      </w:r>
    </w:p>
    <w:p>
      <w:pPr/>
      <w:r>
        <w:t>The session identifier used for login has a renewable validity period of up to 30 days. Form-protection data and the return address after login are retained until the end of the session. Appearance, label and sound preferences remain in the browser until the user changes or deletes them. AI history is described in Part 4. These records are managed by SystemService; data needed to handle a request may be processed by the hosting provider identified in Part 4. Local preferences and history remain in the browser, except for content transmitted when the AI feature is used.</w:t>
      </w:r>
    </w:p>
    <w:p>
      <w:pPr>
        <w:widowControl/>
      </w:pPr>
      <w:r>
        <w:t>Following consent to analytics, GA4 uses the _ga cookie to distinguish users and _ga_* cookies to store session state. Google has access to this data. They remain valid for up to 2 years, with the period renewed on subsequent visits. The browser may shorten this period. The data sent to Google and retention periods within GA4 are described in Part 4.</w:t>
      </w:r>
    </w:p>
    <w:p>
      <w:pPr>
        <w:keepLines/>
        <w:widowControl/>
      </w:pPr>
      <w:r>
        <w:t>Optional consent can be changed or withdrawn at any time using the “Cookie settings” button on the website’s public pages. Withdrawal ends further use of the technologies covered by consent and does not affect the lawfulness of earlier processing. Data stored in the browser can also be deleted through the browser settings. When using Stripe’s payment page, that provider’s information also applies: https://stripe.com/cookie-settings.</w:t>
      </w:r>
    </w:p>
    <w:p>
      <w:pPr>
        <w:pStyle w:val="Heading1"/>
      </w:pPr>
      <w:r>
        <w:rPr>
          <w:color w:val="000000"/>
        </w:rPr>
        <w:t>6 Service security</w:t>
      </w:r>
    </w:p>
    <w:p>
      <w:pPr>
        <w:pStyle w:val="Heading2"/>
      </w:pPr>
      <w:r>
        <w:rPr>
          <w:color w:val="000000"/>
        </w:rPr>
        <w:t>Protection principles</w:t>
      </w:r>
    </w:p>
    <w:p>
      <w:pPr>
        <w:keepLines/>
        <w:widowControl/>
      </w:pPr>
      <w:r>
        <w:t>SystemService restricts access to data and attachments according to the company and the user’s permissions, protects login details and records significant operations. Only authorised persons have access to documentation retained after account deletion. The rules for handling data after the service ends are set out in Parts 1, 3 and 4.</w:t>
      </w:r>
    </w:p>
    <w:p>
      <w:pPr>
        <w:keepLines/>
        <w:widowControl/>
      </w:pPr>
      <w:r>
        <w:t>We use encrypted backups of data and attachments, restrict access to them, and regularly check the ability to recover data. Backup retention periods are set out in Part 4. We provide the information the controller needs to assess safeguards and conduct audits in accordance with Part 3.</w:t>
      </w:r>
    </w:p>
    <w:p>
      <w:pPr>
        <w:keepLines/>
        <w:widowControl/>
      </w:pPr>
      <w:r>
        <w:t>Report suspected data exposure, incorrect permissions or unauthorised opening promptly to info@systemservice.nl. Do not send passwords or card details. In an unsafe situation, the renter stops using the cabinet and secures its surroundings without attempting repairs. Loss of connection does not prove the cabinet is empty. Collection, reassignment and history deletion require authorised checks; a payment dispute does not justify retaining devices inside.</w:t>
      </w:r>
    </w:p>
    <w:p>
      <w:pPr>
        <w:pStyle w:val="Heading1"/>
        <w:pageBreakBefore w:val="0"/>
      </w:pPr>
      <w:r>
        <w:rPr>
          <w:color w:val="000000"/>
        </w:rPr>
        <w:t>7 Order form and confirmations</w:t>
      </w:r>
    </w:p>
    <w:p>
      <w:pPr>
        <w:pStyle w:val="Heading2"/>
      </w:pPr>
      <w:r>
        <w:rPr>
          <w:color w:val="000000"/>
        </w:rPr>
        <w:t>Installation site form</w:t>
      </w:r>
    </w:p>
    <w:p>
      <w:pPr>
        <w:keepLines/>
        <w:widowControl/>
      </w:pPr>
      <w:r>
        <w:t>Company and order number: [order details]. Contact person, phone and email: [complete]. Installation address, postcode, town and country: [complete]. Document language: Polish / Dutch / English. The form concerns this specific site; additional cabinets may have separate installation sites.</w:t>
      </w:r>
    </w:p>
    <w:p>
      <w:pPr>
        <w:keepLines/>
        <w:widowControl/>
      </w:pPr>
      <w:r>
        <w:t>Does the location have a continuous power supply? YES / NO. Is a continuous internet connection available? YES / NO. Do you have the right to install the cabinet and the required written permission from the owner or property manager? YES / NO. These conditions must be met to order the cabinet. I confirm that I will cover the costs of power and internet and have reviewed the dimensions of 1830 × 400 × 450 mm.</w:t>
      </w:r>
    </w:p>
    <w:p>
      <w:pPr>
        <w:keepLines/>
        <w:widowControl/>
      </w:pPr>
      <w:r>
        <w:t>Fixing options: wall / floor / both. Additional site and access information: [complete]. Photo or map marking the site: [optional attachment]. Attachments should not contain unnecessary personal information. A video call before travelling is recommended. The form and written confirmations form part of the order documentation, whether ordered with the platform or later through the profile.</w:t>
      </w:r>
    </w:p>
    <w:p>
      <w:pPr>
        <w:pStyle w:val="Heading2"/>
      </w:pPr>
      <w:r>
        <w:rPr>
          <w:color w:val="000000"/>
        </w:rPr>
        <w:t>Acceptance before payment</w:t>
      </w:r>
    </w:p>
    <w:p>
      <w:pPr>
        <w:keepLines/>
        <w:widowControl/>
      </w:pPr>
      <w:r>
        <w:t>“I act on behalf of the company specified and am authorised to enter into this contract. I accept the SystemService Terms and Conditions, the Data Processing Agreement and — if I am ordering SystemDrop — the SystemDrop Rental Agreement. I have read the Privacy Policy”. The documents are provided before acceptance in a form that can be saved. Acceptance of the contract is not consent to marketing or general consent to the processing of personal data.</w:t>
      </w:r>
    </w:p>
    <w:p>
      <w:pPr>
        <w:keepLines/>
        <w:widowControl/>
      </w:pPr>
      <w:r>
        <w:t>The order summary specifies the amount payable now, the platform renewal price and frequency, the one-off installation and the monthly cabinet price charged from activation. The authorisation for the charges specified in the summary reads: “I authorise SystemService to save the payment method in Stripe and collect the accepted recurring charges, including without my being present. Charges for SystemDrop begin after delivery, installation and activation”.</w:t>
      </w:r>
    </w:p>
    <w:p>
      <w:pPr>
        <w:pStyle w:val="Heading2"/>
      </w:pPr>
      <w:r>
        <w:rPr>
          <w:color w:val="000000"/>
        </w:rPr>
        <w:t>Confirmations to retain</w:t>
      </w:r>
    </w:p>
    <w:p>
      <w:pPr>
        <w:keepLines/>
        <w:widowControl/>
      </w:pPr>
      <w:r>
        <w:t>The customer receives an order confirmation containing the parties’ details, order number, paid items, VAT, options and periods, and the accepted versions of the documents in the chosen language. The cabinet assignment confirmation adds the DROP number, and the activation confirmation states the start of the rental and the end of the minimum period. The confirmation of termination or early settlement specifies the cabinet, end date and amounts due. The accepted terms remain available regardless of subsequent changes to the documents.</w:t>
      </w:r>
    </w:p>
    <w:sectPr w:rsidR="00FC693F" w:rsidRPr="0006063C" w:rsidSect="00034616">
      <w:headerReference w:type="default" r:id="rId9"/>
      <w:footerReference w:type="default" r:id="rId10"/>
      <w:headerReference w:type="first" r:id="rId11"/>
      <w:footerReference w:type="first" r:id="rId12"/>
      <w:headerReference w:type="even" r:id="rId13"/>
      <w:footerReference w:type="even" r:id="rId14"/>
      <w:pgSz w:w="12240" w:h="15840"/>
      <w:pgMar w:top="1080" w:right="1152" w:bottom="1080" w:left="1152" w:header="432" w:footer="432"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r>
      <w:rPr>
        <w:sz w:val="18"/>
      </w:rPr>
      <w:t xml:space="preserve">SystemService • v08 • EN     </w:t>
    </w:r>
    <w:fldSimple w:instr="PAGE"/>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r>
      <w:rPr>
        <w:sz w:val="18"/>
      </w:rPr>
      <w:t>SystemService</w: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header3.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40" w:line="269" w:lineRule="auto"/>
    </w:pPr>
    <w:rPr>
      <w:rFonts w:ascii="Arial" w:hAnsi="Arial"/>
      <w:color w:val="000000"/>
      <w:sz w:val="22"/>
      <w:lang w:val="en-GB"/>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40" w:after="140" w:line="269" w:lineRule="auto"/>
      <w:outlineLvl w:val="0"/>
    </w:pPr>
    <w:rPr>
      <w:rFonts w:asciiTheme="majorHAnsi" w:eastAsiaTheme="majorEastAsia" w:hAnsiTheme="majorHAnsi" w:cstheme="majorBidi" w:ascii="Arial" w:hAnsi="Arial"/>
      <w:b/>
      <w:bCs/>
      <w:color w:val="000000"/>
      <w:sz w:val="34"/>
      <w:szCs w:val="28"/>
      <w:lang w:val="en-GB"/>
    </w:rPr>
  </w:style>
  <w:style w:type="paragraph" w:styleId="Heading2">
    <w:name w:val="heading 2"/>
    <w:basedOn w:val="Normal"/>
    <w:next w:val="Normal"/>
    <w:link w:val="Heading2Char"/>
    <w:uiPriority w:val="9"/>
    <w:unhideWhenUsed/>
    <w:qFormat/>
    <w:rsid w:val="00FC693F"/>
    <w:pPr>
      <w:keepNext/>
      <w:keepLines/>
      <w:spacing w:before="240" w:after="140" w:line="269" w:lineRule="auto"/>
      <w:outlineLvl w:val="1"/>
    </w:pPr>
    <w:rPr>
      <w:rFonts w:asciiTheme="majorHAnsi" w:eastAsiaTheme="majorEastAsia" w:hAnsiTheme="majorHAnsi" w:cstheme="majorBidi" w:ascii="Arial" w:hAnsi="Arial"/>
      <w:b/>
      <w:bCs/>
      <w:color w:val="000000"/>
      <w:sz w:val="24"/>
      <w:szCs w:val="26"/>
      <w:lang w:val="en-GB"/>
    </w:rPr>
  </w:style>
  <w:style w:type="paragraph" w:styleId="Heading3">
    <w:name w:val="heading 3"/>
    <w:basedOn w:val="Normal"/>
    <w:next w:val="Normal"/>
    <w:link w:val="Heading3Char"/>
    <w:uiPriority w:val="9"/>
    <w:unhideWhenUsed/>
    <w:qFormat/>
    <w:rsid w:val="00FC693F"/>
    <w:pPr>
      <w:keepNext/>
      <w:keepLines/>
      <w:spacing w:before="200" w:after="140" w:line="269" w:lineRule="auto"/>
      <w:outlineLvl w:val="2"/>
    </w:pPr>
    <w:rPr>
      <w:rFonts w:asciiTheme="majorHAnsi" w:eastAsiaTheme="majorEastAsia" w:hAnsiTheme="majorHAnsi" w:cstheme="majorBidi" w:ascii="Arial" w:hAnsi="Arial"/>
      <w:b/>
      <w:bCs/>
      <w:color w:val="000000"/>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spacing w:after="140" w:line="269" w:lineRule="auto"/>
      <w:contextualSpacing/>
    </w:pPr>
    <w:rPr>
      <w:rFonts w:asciiTheme="majorHAnsi" w:eastAsiaTheme="majorEastAsia" w:hAnsiTheme="majorHAnsi" w:cstheme="majorBidi" w:ascii="Arial" w:hAnsi="Arial"/>
      <w:color w:val="000000"/>
      <w:spacing w:val="5"/>
      <w:kern w:val="28"/>
      <w:sz w:val="46"/>
      <w:szCs w:val="52"/>
      <w:lang w:val="en-GB"/>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spacing w:after="140" w:line="269" w:lineRule="auto"/>
    </w:pPr>
    <w:rPr>
      <w:rFonts w:asciiTheme="majorHAnsi" w:eastAsiaTheme="majorEastAsia" w:hAnsiTheme="majorHAnsi" w:cstheme="majorBidi" w:ascii="Arial" w:hAnsi="Arial"/>
      <w:i/>
      <w:iCs/>
      <w:color w:val="000000"/>
      <w:spacing w:val="15"/>
      <w:sz w:val="20"/>
      <w:szCs w:val="24"/>
      <w:lang w:val="en-GB"/>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header" Target="header2.xml"/><Relationship Id="rId12" Type="http://schemas.openxmlformats.org/officeDocument/2006/relationships/footer" Target="footer2.xml"/><Relationship Id="rId13" Type="http://schemas.openxmlformats.org/officeDocument/2006/relationships/header" Target="header3.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SystemService documents</dc:title>
  <dc:subject>SystemService 2026-09-14</dc:subject>
  <dc:creator>SystemService</dc:creator>
  <cp:keywords/>
  <dc:description/>
  <cp:lastModifiedBy/>
  <cp:revision>1</cp:revision>
  <dcterms:created xsi:type="dcterms:W3CDTF">2013-12-23T23:15:00Z</dcterms:created>
  <dcterms:modified xsi:type="dcterms:W3CDTF">2013-12-23T23:15:00Z</dcterms:modified>
  <cp:category/>
  <cp:version>v05</cp:version>
</cp:coreProperties>
</file>